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B007" w14:textId="405C2273" w:rsidR="00FE26D1" w:rsidRPr="00FE290F" w:rsidRDefault="00FE290F" w:rsidP="00F52529">
      <w:pPr>
        <w:spacing w:after="0" w:line="240" w:lineRule="auto"/>
        <w:jc w:val="center"/>
        <w:outlineLvl w:val="0"/>
        <w:rPr>
          <w:rFonts w:ascii="Times New Roman" w:hAnsi="Times New Roman" w:cs="Times New Roman"/>
          <w:b/>
          <w:color w:val="000000" w:themeColor="text1"/>
        </w:rPr>
      </w:pPr>
      <w:r w:rsidRPr="00FE290F">
        <w:rPr>
          <w:rFonts w:ascii="Times New Roman" w:hAnsi="Times New Roman" w:cs="Times New Roman"/>
          <w:b/>
          <w:color w:val="000000" w:themeColor="text1"/>
          <w:sz w:val="28"/>
        </w:rPr>
        <w:t xml:space="preserve">FIRM LEVEL STOCK RETURNS VOLATILITY </w:t>
      </w:r>
    </w:p>
    <w:p w14:paraId="1DF1EC7E" w14:textId="77777777" w:rsidR="00FE290F" w:rsidRDefault="00FE290F" w:rsidP="00FE290F">
      <w:pPr>
        <w:spacing w:after="0" w:line="240" w:lineRule="auto"/>
        <w:jc w:val="center"/>
        <w:outlineLvl w:val="0"/>
        <w:rPr>
          <w:rFonts w:ascii="Times New Roman" w:hAnsi="Times New Roman" w:cs="Times New Roman"/>
          <w:color w:val="000000" w:themeColor="text1"/>
        </w:rPr>
      </w:pPr>
    </w:p>
    <w:p w14:paraId="650A5033" w14:textId="31A5016E" w:rsidR="00FE26D1" w:rsidRPr="00BB67FD" w:rsidRDefault="00FE290F" w:rsidP="00FE290F">
      <w:pPr>
        <w:spacing w:after="0" w:line="240" w:lineRule="auto"/>
        <w:jc w:val="center"/>
        <w:outlineLvl w:val="0"/>
        <w:rPr>
          <w:rFonts w:ascii="Times New Roman" w:hAnsi="Times New Roman" w:cs="Times New Roman"/>
          <w:color w:val="000000" w:themeColor="text1"/>
          <w:vertAlign w:val="superscript"/>
        </w:rPr>
      </w:pPr>
      <w:r>
        <w:rPr>
          <w:rFonts w:ascii="Times New Roman" w:hAnsi="Times New Roman" w:cs="Times New Roman"/>
          <w:color w:val="000000" w:themeColor="text1"/>
        </w:rPr>
        <w:t>Author 1</w:t>
      </w:r>
      <w:r w:rsidRPr="00BB67FD">
        <w:rPr>
          <w:rStyle w:val="FootnoteReference"/>
          <w:rFonts w:ascii="Times New Roman" w:hAnsi="Times New Roman" w:cs="Times New Roman"/>
          <w:color w:val="000000" w:themeColor="text1"/>
        </w:rPr>
        <w:footnoteReference w:customMarkFollows="1" w:id="1"/>
        <w:t>*</w:t>
      </w:r>
      <w:r w:rsidR="00232B51">
        <w:rPr>
          <w:rFonts w:ascii="Times New Roman" w:hAnsi="Times New Roman" w:cs="Times New Roman"/>
          <w:color w:val="000000" w:themeColor="text1"/>
        </w:rPr>
        <w:t>,</w:t>
      </w:r>
      <w:r w:rsidR="00FE26D1" w:rsidRPr="00BB67FD">
        <w:rPr>
          <w:rFonts w:ascii="Times New Roman" w:hAnsi="Times New Roman" w:cs="Times New Roman"/>
          <w:color w:val="000000" w:themeColor="text1"/>
        </w:rPr>
        <w:t xml:space="preserve"> </w:t>
      </w:r>
      <w:bookmarkStart w:id="0" w:name="_Hlk7041670"/>
      <w:r>
        <w:rPr>
          <w:rFonts w:ascii="Times New Roman" w:hAnsi="Times New Roman" w:cs="Times New Roman"/>
          <w:color w:val="000000" w:themeColor="text1"/>
        </w:rPr>
        <w:t>Author 2</w:t>
      </w:r>
    </w:p>
    <w:p w14:paraId="57B397BB" w14:textId="309B87EC" w:rsidR="00FE290F" w:rsidRPr="00FE290F" w:rsidRDefault="00FE26D1" w:rsidP="00FE290F">
      <w:pPr>
        <w:spacing w:after="0" w:line="240" w:lineRule="auto"/>
        <w:jc w:val="center"/>
        <w:rPr>
          <w:rFonts w:ascii="Times New Roman" w:hAnsi="Times New Roman" w:cs="Times New Roman"/>
          <w:color w:val="000000" w:themeColor="text1"/>
        </w:rPr>
      </w:pPr>
      <w:r w:rsidRPr="00FE290F">
        <w:rPr>
          <w:rFonts w:ascii="Times New Roman" w:hAnsi="Times New Roman" w:cs="Times New Roman"/>
          <w:color w:val="000000" w:themeColor="text1"/>
        </w:rPr>
        <w:t>Faculty of Economics, Business and Accountancy</w:t>
      </w:r>
    </w:p>
    <w:p w14:paraId="1FD0CDA8" w14:textId="2FDF5B7D" w:rsidR="00FE26D1" w:rsidRDefault="00FE26D1" w:rsidP="00FE290F">
      <w:pPr>
        <w:spacing w:after="0" w:line="240" w:lineRule="auto"/>
        <w:jc w:val="center"/>
        <w:rPr>
          <w:rFonts w:ascii="Times New Roman" w:hAnsi="Times New Roman" w:cs="Times New Roman"/>
          <w:color w:val="000000" w:themeColor="text1"/>
        </w:rPr>
      </w:pPr>
      <w:r w:rsidRPr="00FE290F">
        <w:rPr>
          <w:rFonts w:ascii="Times New Roman" w:hAnsi="Times New Roman" w:cs="Times New Roman"/>
          <w:color w:val="000000" w:themeColor="text1"/>
        </w:rPr>
        <w:t>Univer</w:t>
      </w:r>
      <w:r w:rsidR="00232B51">
        <w:rPr>
          <w:rFonts w:ascii="Times New Roman" w:hAnsi="Times New Roman" w:cs="Times New Roman"/>
          <w:color w:val="000000" w:themeColor="text1"/>
        </w:rPr>
        <w:t>s</w:t>
      </w:r>
      <w:r w:rsidRPr="00FE290F">
        <w:rPr>
          <w:rFonts w:ascii="Times New Roman" w:hAnsi="Times New Roman" w:cs="Times New Roman"/>
          <w:color w:val="000000" w:themeColor="text1"/>
        </w:rPr>
        <w:t>it</w:t>
      </w:r>
      <w:r w:rsidR="00232B51">
        <w:rPr>
          <w:rFonts w:ascii="Times New Roman" w:hAnsi="Times New Roman" w:cs="Times New Roman"/>
          <w:color w:val="000000" w:themeColor="text1"/>
        </w:rPr>
        <w:t>y</w:t>
      </w:r>
      <w:r w:rsidRPr="00FE290F">
        <w:rPr>
          <w:rFonts w:ascii="Times New Roman" w:hAnsi="Times New Roman" w:cs="Times New Roman"/>
          <w:color w:val="000000" w:themeColor="text1"/>
        </w:rPr>
        <w:t xml:space="preserve"> </w:t>
      </w:r>
      <w:r w:rsidR="00232B51">
        <w:rPr>
          <w:rFonts w:ascii="Times New Roman" w:hAnsi="Times New Roman" w:cs="Times New Roman"/>
          <w:color w:val="000000" w:themeColor="text1"/>
        </w:rPr>
        <w:t>1</w:t>
      </w:r>
    </w:p>
    <w:bookmarkEnd w:id="0"/>
    <w:p w14:paraId="77D074F3" w14:textId="1323850B" w:rsidR="00232B51" w:rsidRDefault="00232B51" w:rsidP="00FE290F">
      <w:pPr>
        <w:spacing w:after="0" w:line="240" w:lineRule="auto"/>
        <w:jc w:val="center"/>
        <w:rPr>
          <w:rFonts w:ascii="Times New Roman" w:hAnsi="Times New Roman" w:cs="Times New Roman"/>
          <w:color w:val="000000" w:themeColor="text1"/>
        </w:rPr>
      </w:pPr>
    </w:p>
    <w:p w14:paraId="3B3D4A1F" w14:textId="2A1F2F78" w:rsidR="00232B51" w:rsidRPr="00BB67FD" w:rsidRDefault="00232B51" w:rsidP="00232B51">
      <w:pPr>
        <w:spacing w:after="0" w:line="240" w:lineRule="auto"/>
        <w:jc w:val="center"/>
        <w:outlineLvl w:val="0"/>
        <w:rPr>
          <w:rFonts w:ascii="Times New Roman" w:hAnsi="Times New Roman" w:cs="Times New Roman"/>
          <w:color w:val="000000" w:themeColor="text1"/>
          <w:vertAlign w:val="superscript"/>
        </w:rPr>
      </w:pPr>
      <w:r>
        <w:rPr>
          <w:rFonts w:ascii="Times New Roman" w:hAnsi="Times New Roman" w:cs="Times New Roman"/>
          <w:color w:val="000000" w:themeColor="text1"/>
        </w:rPr>
        <w:t xml:space="preserve">Author </w:t>
      </w:r>
      <w:r>
        <w:rPr>
          <w:rFonts w:ascii="Times New Roman" w:hAnsi="Times New Roman" w:cs="Times New Roman"/>
          <w:color w:val="000000" w:themeColor="text1"/>
        </w:rPr>
        <w:t>3</w:t>
      </w:r>
    </w:p>
    <w:p w14:paraId="39515A95" w14:textId="5562E392" w:rsidR="00232B51" w:rsidRPr="00FE290F" w:rsidRDefault="00232B51" w:rsidP="00232B51">
      <w:pPr>
        <w:spacing w:after="0" w:line="240" w:lineRule="auto"/>
        <w:jc w:val="center"/>
        <w:rPr>
          <w:rFonts w:ascii="Times New Roman" w:hAnsi="Times New Roman" w:cs="Times New Roman"/>
          <w:color w:val="000000" w:themeColor="text1"/>
        </w:rPr>
      </w:pPr>
      <w:r w:rsidRPr="00FE290F">
        <w:rPr>
          <w:rFonts w:ascii="Times New Roman" w:hAnsi="Times New Roman" w:cs="Times New Roman"/>
          <w:color w:val="000000" w:themeColor="text1"/>
        </w:rPr>
        <w:t>Faculty of Economics, Business and Accountancy</w:t>
      </w:r>
    </w:p>
    <w:p w14:paraId="010CDF5F" w14:textId="35262710" w:rsidR="00232B51" w:rsidRDefault="00232B51" w:rsidP="00232B51">
      <w:pPr>
        <w:spacing w:after="0" w:line="240" w:lineRule="auto"/>
        <w:jc w:val="center"/>
        <w:rPr>
          <w:rFonts w:ascii="Times New Roman" w:hAnsi="Times New Roman" w:cs="Times New Roman"/>
          <w:color w:val="000000" w:themeColor="text1"/>
        </w:rPr>
      </w:pPr>
      <w:r w:rsidRPr="00FE290F">
        <w:rPr>
          <w:rFonts w:ascii="Times New Roman" w:hAnsi="Times New Roman" w:cs="Times New Roman"/>
          <w:color w:val="000000" w:themeColor="text1"/>
        </w:rPr>
        <w:t>Universit</w:t>
      </w:r>
      <w:r>
        <w:rPr>
          <w:rFonts w:ascii="Times New Roman" w:hAnsi="Times New Roman" w:cs="Times New Roman"/>
          <w:color w:val="000000" w:themeColor="text1"/>
        </w:rPr>
        <w:t>y 2</w:t>
      </w:r>
    </w:p>
    <w:p w14:paraId="54B3A6B9" w14:textId="77777777" w:rsidR="00232B51" w:rsidRPr="00FE290F" w:rsidRDefault="00232B51" w:rsidP="00FE290F">
      <w:pPr>
        <w:spacing w:after="0" w:line="240" w:lineRule="auto"/>
        <w:jc w:val="center"/>
        <w:rPr>
          <w:rFonts w:ascii="Times New Roman" w:hAnsi="Times New Roman" w:cs="Times New Roman"/>
          <w:color w:val="000000" w:themeColor="text1"/>
        </w:rPr>
      </w:pPr>
    </w:p>
    <w:p w14:paraId="7F7C8490" w14:textId="4613FCAC" w:rsidR="00FE26D1" w:rsidRDefault="00FE26D1" w:rsidP="0013302C">
      <w:pPr>
        <w:spacing w:after="0" w:line="240" w:lineRule="auto"/>
        <w:jc w:val="center"/>
        <w:outlineLvl w:val="0"/>
        <w:rPr>
          <w:rFonts w:ascii="Times New Roman" w:hAnsi="Times New Roman" w:cs="Times New Roman"/>
          <w:b/>
          <w:color w:val="000000" w:themeColor="text1"/>
        </w:rPr>
      </w:pPr>
      <w:r w:rsidRPr="00BB67FD">
        <w:rPr>
          <w:rFonts w:ascii="Times New Roman" w:hAnsi="Times New Roman" w:cs="Times New Roman"/>
          <w:b/>
          <w:color w:val="000000" w:themeColor="text1"/>
        </w:rPr>
        <w:t>ABSTRACT</w:t>
      </w:r>
    </w:p>
    <w:p w14:paraId="07D123B6" w14:textId="77777777" w:rsidR="0051301F" w:rsidRPr="00BB67FD" w:rsidRDefault="0051301F" w:rsidP="0013302C">
      <w:pPr>
        <w:spacing w:after="0" w:line="240" w:lineRule="auto"/>
        <w:jc w:val="center"/>
        <w:outlineLvl w:val="0"/>
        <w:rPr>
          <w:rFonts w:ascii="Times New Roman" w:hAnsi="Times New Roman" w:cs="Times New Roman"/>
          <w:b/>
          <w:color w:val="000000" w:themeColor="text1"/>
        </w:rPr>
      </w:pPr>
    </w:p>
    <w:p w14:paraId="66F67555" w14:textId="77777777" w:rsidR="00FE26D1" w:rsidRPr="00BB67FD" w:rsidRDefault="00FE26D1" w:rsidP="00FE290F">
      <w:pPr>
        <w:spacing w:after="0" w:line="240" w:lineRule="auto"/>
        <w:jc w:val="both"/>
        <w:rPr>
          <w:rFonts w:ascii="Times New Roman" w:hAnsi="Times New Roman" w:cs="Times New Roman"/>
          <w:color w:val="000000" w:themeColor="text1"/>
        </w:rPr>
      </w:pPr>
      <w:r w:rsidRPr="00BB67FD">
        <w:rPr>
          <w:rFonts w:ascii="Times New Roman" w:hAnsi="Times New Roman" w:cs="Times New Roman"/>
          <w:color w:val="000000" w:themeColor="text1"/>
        </w:rPr>
        <w:t xml:space="preserve">This paper analyzes the </w:t>
      </w:r>
      <w:r w:rsidR="001D6F1E" w:rsidRPr="00BB67FD">
        <w:rPr>
          <w:rFonts w:ascii="Times New Roman" w:hAnsi="Times New Roman" w:cs="Times New Roman"/>
          <w:color w:val="000000" w:themeColor="text1"/>
        </w:rPr>
        <w:t xml:space="preserve">level of </w:t>
      </w:r>
      <w:r w:rsidRPr="00BB67FD">
        <w:rPr>
          <w:rFonts w:ascii="Times New Roman" w:hAnsi="Times New Roman" w:cs="Times New Roman"/>
          <w:color w:val="000000" w:themeColor="text1"/>
        </w:rPr>
        <w:t xml:space="preserve">stock returns volatility and identifies causal relationships across different economic sectors in Bursa Malaysia. We found dissimilarities of average stock returns volatility between sectors where firms in </w:t>
      </w:r>
      <w:r w:rsidR="0096400F" w:rsidRPr="00BB67FD">
        <w:rPr>
          <w:rFonts w:ascii="Times New Roman" w:hAnsi="Times New Roman" w:cs="Times New Roman"/>
          <w:color w:val="000000" w:themeColor="text1"/>
        </w:rPr>
        <w:t>the T</w:t>
      </w:r>
      <w:r w:rsidRPr="00BB67FD">
        <w:rPr>
          <w:rFonts w:ascii="Times New Roman" w:hAnsi="Times New Roman" w:cs="Times New Roman"/>
          <w:color w:val="000000" w:themeColor="text1"/>
        </w:rPr>
        <w:t xml:space="preserve">echnology sector exhibit the highest stock returns volatility while firms in </w:t>
      </w:r>
      <w:r w:rsidR="0096400F" w:rsidRPr="00BB67FD">
        <w:rPr>
          <w:rFonts w:ascii="Times New Roman" w:hAnsi="Times New Roman" w:cs="Times New Roman"/>
          <w:color w:val="000000" w:themeColor="text1"/>
        </w:rPr>
        <w:t>T</w:t>
      </w:r>
      <w:r w:rsidRPr="00BB67FD">
        <w:rPr>
          <w:rFonts w:ascii="Times New Roman" w:hAnsi="Times New Roman" w:cs="Times New Roman"/>
          <w:color w:val="000000" w:themeColor="text1"/>
        </w:rPr>
        <w:t>elecommunication sector show the lowest volatility</w:t>
      </w:r>
      <w:r w:rsidR="001F068F" w:rsidRPr="00BB67FD">
        <w:rPr>
          <w:rFonts w:ascii="Times New Roman" w:hAnsi="Times New Roman" w:cs="Times New Roman"/>
          <w:color w:val="000000" w:themeColor="text1"/>
        </w:rPr>
        <w:t>.</w:t>
      </w:r>
      <w:r w:rsidRPr="00BB67FD">
        <w:rPr>
          <w:rFonts w:ascii="Times New Roman" w:hAnsi="Times New Roman" w:cs="Times New Roman"/>
          <w:color w:val="000000" w:themeColor="text1"/>
        </w:rPr>
        <w:t xml:space="preserve"> </w:t>
      </w:r>
    </w:p>
    <w:p w14:paraId="180022CF" w14:textId="77777777" w:rsidR="00717583" w:rsidRPr="000021F0" w:rsidRDefault="00717583" w:rsidP="00FE290F">
      <w:pPr>
        <w:spacing w:after="0" w:line="240" w:lineRule="auto"/>
        <w:jc w:val="both"/>
        <w:rPr>
          <w:rFonts w:ascii="Tahoma" w:hAnsi="Tahoma" w:cs="Tahoma"/>
          <w:color w:val="000000" w:themeColor="text1"/>
        </w:rPr>
      </w:pPr>
    </w:p>
    <w:p w14:paraId="58442C60" w14:textId="77777777" w:rsidR="00FE26D1" w:rsidRPr="00BB67FD" w:rsidRDefault="00FE26D1" w:rsidP="00FE290F">
      <w:pPr>
        <w:spacing w:after="0" w:line="240" w:lineRule="auto"/>
        <w:rPr>
          <w:rFonts w:ascii="Times New Roman" w:hAnsi="Times New Roman" w:cs="Times New Roman"/>
          <w:color w:val="000000" w:themeColor="text1"/>
        </w:rPr>
      </w:pPr>
      <w:r w:rsidRPr="00F54BCD">
        <w:rPr>
          <w:rFonts w:ascii="Times New Roman" w:hAnsi="Times New Roman" w:cs="Times New Roman"/>
          <w:b/>
          <w:color w:val="000000" w:themeColor="text1"/>
        </w:rPr>
        <w:t>Keywords</w:t>
      </w:r>
      <w:r w:rsidRPr="00BB67FD">
        <w:rPr>
          <w:rFonts w:ascii="Times New Roman" w:hAnsi="Times New Roman" w:cs="Times New Roman"/>
          <w:color w:val="000000" w:themeColor="text1"/>
        </w:rPr>
        <w:t xml:space="preserve">: </w:t>
      </w:r>
      <w:r w:rsidR="005C42F8" w:rsidRPr="00BB67FD">
        <w:rPr>
          <w:rFonts w:ascii="Times New Roman" w:hAnsi="Times New Roman" w:cs="Times New Roman"/>
          <w:color w:val="000000" w:themeColor="text1"/>
        </w:rPr>
        <w:t>S</w:t>
      </w:r>
      <w:r w:rsidRPr="00BB67FD">
        <w:rPr>
          <w:rFonts w:ascii="Times New Roman" w:hAnsi="Times New Roman" w:cs="Times New Roman"/>
          <w:color w:val="000000" w:themeColor="text1"/>
        </w:rPr>
        <w:t xml:space="preserve">tock returns volatility, </w:t>
      </w:r>
      <w:r w:rsidR="00AF4CDE" w:rsidRPr="00BB67FD">
        <w:rPr>
          <w:rFonts w:ascii="Times New Roman" w:hAnsi="Times New Roman" w:cs="Times New Roman"/>
          <w:color w:val="000000" w:themeColor="text1"/>
        </w:rPr>
        <w:t xml:space="preserve">Volatility persistence, </w:t>
      </w:r>
      <w:r w:rsidRPr="00BB67FD">
        <w:rPr>
          <w:rFonts w:ascii="Times New Roman" w:hAnsi="Times New Roman" w:cs="Times New Roman"/>
          <w:color w:val="000000" w:themeColor="text1"/>
        </w:rPr>
        <w:t>Leverage effects, Causal relationship.</w:t>
      </w:r>
    </w:p>
    <w:p w14:paraId="4A673C29" w14:textId="77777777" w:rsidR="00186B45" w:rsidRPr="00BB67FD" w:rsidRDefault="00186B45" w:rsidP="00FE290F">
      <w:pPr>
        <w:spacing w:after="0" w:line="240" w:lineRule="auto"/>
        <w:rPr>
          <w:rFonts w:ascii="Times New Roman" w:hAnsi="Times New Roman" w:cs="Times New Roman"/>
          <w:color w:val="000000" w:themeColor="text1"/>
        </w:rPr>
      </w:pPr>
    </w:p>
    <w:p w14:paraId="757BD033" w14:textId="77777777" w:rsidR="008B09C0" w:rsidRPr="00BB67FD" w:rsidRDefault="00FE26D1" w:rsidP="00FE290F">
      <w:pPr>
        <w:spacing w:after="0" w:line="240" w:lineRule="auto"/>
        <w:jc w:val="both"/>
        <w:rPr>
          <w:rFonts w:ascii="Times New Roman" w:hAnsi="Times New Roman" w:cs="Times New Roman"/>
          <w:b/>
          <w:color w:val="000000" w:themeColor="text1"/>
        </w:rPr>
      </w:pPr>
      <w:r w:rsidRPr="00BB67FD">
        <w:rPr>
          <w:rFonts w:ascii="Times New Roman" w:hAnsi="Times New Roman" w:cs="Times New Roman"/>
          <w:b/>
          <w:color w:val="000000" w:themeColor="text1"/>
        </w:rPr>
        <w:t>1.</w:t>
      </w:r>
      <w:r w:rsidRPr="00BB67FD">
        <w:rPr>
          <w:rFonts w:ascii="Times New Roman" w:hAnsi="Times New Roman" w:cs="Times New Roman"/>
          <w:b/>
          <w:color w:val="000000" w:themeColor="text1"/>
        </w:rPr>
        <w:tab/>
        <w:t>Introduction</w:t>
      </w:r>
    </w:p>
    <w:p w14:paraId="29EF3688" w14:textId="77777777" w:rsidR="00BA21E0" w:rsidRPr="000021F0" w:rsidRDefault="00BA21E0" w:rsidP="00FE290F">
      <w:pPr>
        <w:spacing w:after="0" w:line="240" w:lineRule="auto"/>
        <w:jc w:val="both"/>
        <w:rPr>
          <w:rFonts w:ascii="Tahoma" w:hAnsi="Tahoma" w:cs="Tahoma"/>
          <w:b/>
          <w:color w:val="000000" w:themeColor="text1"/>
        </w:rPr>
      </w:pPr>
    </w:p>
    <w:p w14:paraId="590BB893" w14:textId="7A39F81D" w:rsidR="00FE26D1" w:rsidRDefault="00EF6DA2" w:rsidP="00FE290F">
      <w:pPr>
        <w:spacing w:after="0" w:line="240" w:lineRule="auto"/>
        <w:jc w:val="both"/>
        <w:rPr>
          <w:rFonts w:ascii="Times New Roman" w:hAnsi="Times New Roman" w:cs="Times New Roman"/>
          <w:color w:val="000000" w:themeColor="text1"/>
        </w:rPr>
      </w:pPr>
      <w:r w:rsidRPr="00BB67FD">
        <w:rPr>
          <w:rFonts w:ascii="Times New Roman" w:hAnsi="Times New Roman" w:cs="Times New Roman"/>
          <w:color w:val="000000" w:themeColor="text1"/>
        </w:rPr>
        <w:t>Analyzing stock market volatility is crucial for firms and investors in order to assess the level of risk</w:t>
      </w:r>
      <w:r w:rsidR="00ED39F3" w:rsidRPr="00BB67FD">
        <w:rPr>
          <w:rFonts w:ascii="Times New Roman" w:hAnsi="Times New Roman" w:cs="Times New Roman"/>
          <w:color w:val="000000" w:themeColor="text1"/>
        </w:rPr>
        <w:t>s in the stock market</w:t>
      </w:r>
      <w:r w:rsidRPr="00BB67FD">
        <w:rPr>
          <w:rFonts w:ascii="Times New Roman" w:hAnsi="Times New Roman" w:cs="Times New Roman"/>
          <w:color w:val="000000" w:themeColor="text1"/>
        </w:rPr>
        <w:t>.</w:t>
      </w:r>
      <w:r w:rsidR="003813EC" w:rsidRPr="00BB67FD">
        <w:rPr>
          <w:rFonts w:ascii="Times New Roman" w:hAnsi="Times New Roman" w:cs="Times New Roman"/>
          <w:color w:val="000000" w:themeColor="text1"/>
        </w:rPr>
        <w:t xml:space="preserve"> </w:t>
      </w:r>
      <w:proofErr w:type="spellStart"/>
      <w:r w:rsidR="00FE26D1" w:rsidRPr="00BB67FD">
        <w:rPr>
          <w:rFonts w:ascii="Times New Roman" w:hAnsi="Times New Roman" w:cs="Times New Roman"/>
          <w:color w:val="000000" w:themeColor="text1"/>
        </w:rPr>
        <w:t>Rohani</w:t>
      </w:r>
      <w:proofErr w:type="spellEnd"/>
      <w:r w:rsidR="00FE26D1" w:rsidRPr="00BB67FD">
        <w:rPr>
          <w:rFonts w:ascii="Times New Roman" w:hAnsi="Times New Roman" w:cs="Times New Roman"/>
          <w:color w:val="000000" w:themeColor="text1"/>
        </w:rPr>
        <w:t xml:space="preserve"> (2014) argues that risk is the chance where actual return may differ from what is expected, and that investment return with higher volatility is riskier than investment with lower volatility. </w:t>
      </w:r>
      <w:r w:rsidR="00265C35" w:rsidRPr="00BB67FD">
        <w:rPr>
          <w:rFonts w:ascii="Times New Roman" w:hAnsi="Times New Roman" w:cs="Times New Roman"/>
          <w:color w:val="000000" w:themeColor="text1"/>
        </w:rPr>
        <w:t>V</w:t>
      </w:r>
      <w:r w:rsidR="00F8596E" w:rsidRPr="00BB67FD">
        <w:rPr>
          <w:rFonts w:ascii="Times New Roman" w:hAnsi="Times New Roman" w:cs="Times New Roman"/>
          <w:color w:val="000000" w:themeColor="text1"/>
        </w:rPr>
        <w:t xml:space="preserve">olatility possesses a major threat in the stock market as an increase in volatility causes the demand of stock to fall due to its high risk. </w:t>
      </w:r>
    </w:p>
    <w:p w14:paraId="1CF05A30" w14:textId="77777777" w:rsidR="00514B42" w:rsidRPr="00256134" w:rsidRDefault="00514B42" w:rsidP="00FE290F">
      <w:pPr>
        <w:spacing w:after="0" w:line="240" w:lineRule="auto"/>
        <w:jc w:val="both"/>
        <w:rPr>
          <w:rFonts w:ascii="Times New Roman" w:hAnsi="Times New Roman" w:cs="Times New Roman"/>
          <w:color w:val="000000" w:themeColor="text1"/>
        </w:rPr>
      </w:pPr>
    </w:p>
    <w:p w14:paraId="50918D9A" w14:textId="0D58D212" w:rsidR="00505DC7" w:rsidRDefault="00FE26D1" w:rsidP="00505DC7">
      <w:pPr>
        <w:spacing w:after="0" w:line="240" w:lineRule="auto"/>
        <w:ind w:firstLine="720"/>
        <w:jc w:val="both"/>
        <w:rPr>
          <w:rFonts w:ascii="Times New Roman" w:hAnsi="Times New Roman" w:cs="Times New Roman"/>
          <w:color w:val="000000" w:themeColor="text1"/>
        </w:rPr>
      </w:pPr>
      <w:r w:rsidRPr="00256134">
        <w:rPr>
          <w:rFonts w:ascii="Times New Roman" w:hAnsi="Times New Roman" w:cs="Times New Roman"/>
          <w:color w:val="000000" w:themeColor="text1"/>
        </w:rPr>
        <w:t xml:space="preserve">The remainder of this paper is organized as follows. Section 2 discusses previous literatures on volatility estimation </w:t>
      </w:r>
      <w:r w:rsidR="00B13A2C" w:rsidRPr="00256134">
        <w:rPr>
          <w:rFonts w:ascii="Times New Roman" w:hAnsi="Times New Roman" w:cs="Times New Roman"/>
          <w:color w:val="000000" w:themeColor="text1"/>
        </w:rPr>
        <w:t xml:space="preserve">in Malaysia </w:t>
      </w:r>
      <w:r w:rsidRPr="00256134">
        <w:rPr>
          <w:rFonts w:ascii="Times New Roman" w:hAnsi="Times New Roman" w:cs="Times New Roman"/>
          <w:color w:val="000000" w:themeColor="text1"/>
        </w:rPr>
        <w:t xml:space="preserve">and portfolio diversification. Section 3 describes the dynamic volatility estimation of EGARCH, the asymmetric nature of stock returns volatility, and causal relationship assessments. Section 4 shows the estimation results, and Section 5 concludes.  </w:t>
      </w:r>
    </w:p>
    <w:p w14:paraId="237FB650" w14:textId="77777777" w:rsidR="00505DC7" w:rsidRPr="00256134" w:rsidRDefault="00505DC7" w:rsidP="00505DC7">
      <w:pPr>
        <w:spacing w:after="0" w:line="240" w:lineRule="auto"/>
        <w:ind w:firstLine="720"/>
        <w:jc w:val="both"/>
        <w:rPr>
          <w:rFonts w:ascii="Times New Roman" w:hAnsi="Times New Roman" w:cs="Times New Roman"/>
          <w:color w:val="000000" w:themeColor="text1"/>
        </w:rPr>
      </w:pPr>
    </w:p>
    <w:p w14:paraId="3A16196D" w14:textId="77777777" w:rsidR="00186B45" w:rsidRPr="00511126" w:rsidRDefault="00FE26D1" w:rsidP="00FE290F">
      <w:pPr>
        <w:spacing w:after="0" w:line="240" w:lineRule="auto"/>
        <w:rPr>
          <w:rFonts w:ascii="Times New Roman" w:hAnsi="Times New Roman" w:cs="Times New Roman"/>
          <w:b/>
          <w:color w:val="000000" w:themeColor="text1"/>
        </w:rPr>
      </w:pPr>
      <w:r w:rsidRPr="00511126">
        <w:rPr>
          <w:rFonts w:ascii="Times New Roman" w:hAnsi="Times New Roman" w:cs="Times New Roman"/>
          <w:b/>
          <w:color w:val="000000" w:themeColor="text1"/>
        </w:rPr>
        <w:t>2.</w:t>
      </w:r>
      <w:r w:rsidRPr="00511126">
        <w:rPr>
          <w:rFonts w:ascii="Times New Roman" w:hAnsi="Times New Roman" w:cs="Times New Roman"/>
          <w:b/>
          <w:color w:val="000000" w:themeColor="text1"/>
        </w:rPr>
        <w:tab/>
        <w:t>Literature Review</w:t>
      </w:r>
    </w:p>
    <w:p w14:paraId="7CDA373F" w14:textId="77777777" w:rsidR="00BA21E0" w:rsidRPr="00511126" w:rsidRDefault="00BA21E0" w:rsidP="00FE290F">
      <w:pPr>
        <w:spacing w:after="0" w:line="240" w:lineRule="auto"/>
        <w:rPr>
          <w:rFonts w:ascii="Times New Roman" w:hAnsi="Times New Roman" w:cs="Times New Roman"/>
          <w:b/>
          <w:color w:val="000000" w:themeColor="text1"/>
        </w:rPr>
      </w:pPr>
    </w:p>
    <w:p w14:paraId="5A867095" w14:textId="77777777" w:rsidR="00FE26D1" w:rsidRPr="00511126" w:rsidRDefault="00FE26D1" w:rsidP="00FE290F">
      <w:pPr>
        <w:spacing w:after="0" w:line="240" w:lineRule="auto"/>
        <w:jc w:val="both"/>
        <w:outlineLvl w:val="0"/>
        <w:rPr>
          <w:rFonts w:ascii="Times New Roman" w:hAnsi="Times New Roman" w:cs="Times New Roman"/>
          <w:color w:val="000000" w:themeColor="text1"/>
        </w:rPr>
      </w:pPr>
      <w:r w:rsidRPr="00511126">
        <w:rPr>
          <w:rFonts w:ascii="Times New Roman" w:hAnsi="Times New Roman" w:cs="Times New Roman"/>
          <w:color w:val="000000" w:themeColor="text1"/>
        </w:rPr>
        <w:t xml:space="preserve">2.1 </w:t>
      </w:r>
      <w:r w:rsidRPr="00511126">
        <w:rPr>
          <w:rFonts w:ascii="Times New Roman" w:hAnsi="Times New Roman" w:cs="Times New Roman"/>
          <w:color w:val="000000" w:themeColor="text1"/>
        </w:rPr>
        <w:tab/>
      </w:r>
      <w:r w:rsidR="00EF6DA2" w:rsidRPr="00511126">
        <w:rPr>
          <w:rFonts w:ascii="Times New Roman" w:hAnsi="Times New Roman" w:cs="Times New Roman"/>
          <w:color w:val="000000" w:themeColor="text1"/>
        </w:rPr>
        <w:t>Stock Market Volatility</w:t>
      </w:r>
      <w:r w:rsidR="005D251C" w:rsidRPr="00511126">
        <w:rPr>
          <w:rFonts w:ascii="Times New Roman" w:hAnsi="Times New Roman" w:cs="Times New Roman"/>
          <w:color w:val="000000" w:themeColor="text1"/>
        </w:rPr>
        <w:t xml:space="preserve"> in Malaysia</w:t>
      </w:r>
    </w:p>
    <w:p w14:paraId="7299F857" w14:textId="77777777" w:rsidR="00BA21E0" w:rsidRPr="00511126" w:rsidRDefault="00BA21E0" w:rsidP="00FE290F">
      <w:pPr>
        <w:spacing w:after="0" w:line="240" w:lineRule="auto"/>
        <w:jc w:val="both"/>
        <w:outlineLvl w:val="0"/>
        <w:rPr>
          <w:rFonts w:ascii="Times New Roman" w:hAnsi="Times New Roman" w:cs="Times New Roman"/>
          <w:color w:val="000000" w:themeColor="text1"/>
        </w:rPr>
      </w:pPr>
    </w:p>
    <w:p w14:paraId="17D9173F" w14:textId="77777777" w:rsidR="00B805BC" w:rsidRDefault="00564F05" w:rsidP="00FE290F">
      <w:pPr>
        <w:spacing w:after="0" w:line="240" w:lineRule="auto"/>
        <w:jc w:val="both"/>
        <w:rPr>
          <w:rFonts w:ascii="Times New Roman" w:hAnsi="Times New Roman" w:cs="Times New Roman"/>
          <w:color w:val="000000" w:themeColor="text1"/>
        </w:rPr>
      </w:pPr>
      <w:proofErr w:type="spellStart"/>
      <w:r w:rsidRPr="00511126">
        <w:rPr>
          <w:rFonts w:ascii="Times New Roman" w:hAnsi="Times New Roman" w:cs="Times New Roman"/>
          <w:color w:val="000000" w:themeColor="text1"/>
        </w:rPr>
        <w:t>Jie</w:t>
      </w:r>
      <w:proofErr w:type="spellEnd"/>
      <w:r w:rsidRPr="00511126">
        <w:rPr>
          <w:rFonts w:ascii="Times New Roman" w:hAnsi="Times New Roman" w:cs="Times New Roman"/>
          <w:color w:val="000000" w:themeColor="text1"/>
        </w:rPr>
        <w:t xml:space="preserve"> (2007) analyzes the stock </w:t>
      </w:r>
      <w:r w:rsidR="00083AE2" w:rsidRPr="00511126">
        <w:rPr>
          <w:rFonts w:ascii="Times New Roman" w:hAnsi="Times New Roman" w:cs="Times New Roman"/>
          <w:color w:val="000000" w:themeColor="text1"/>
        </w:rPr>
        <w:t xml:space="preserve">price and </w:t>
      </w:r>
      <w:r w:rsidRPr="00511126">
        <w:rPr>
          <w:rFonts w:ascii="Times New Roman" w:hAnsi="Times New Roman" w:cs="Times New Roman"/>
          <w:color w:val="000000" w:themeColor="text1"/>
        </w:rPr>
        <w:t xml:space="preserve">returns volatility of Malaysia based on weekly sample from January 1977 to February 2007 for both Kuala Lumpur Composite Index </w:t>
      </w:r>
      <w:r w:rsidR="004B6D46" w:rsidRPr="00511126">
        <w:rPr>
          <w:rFonts w:ascii="Times New Roman" w:hAnsi="Times New Roman" w:cs="Times New Roman"/>
          <w:color w:val="000000" w:themeColor="text1"/>
        </w:rPr>
        <w:t xml:space="preserve">(KLCI) </w:t>
      </w:r>
      <w:r w:rsidR="00150BF6" w:rsidRPr="00511126">
        <w:rPr>
          <w:rFonts w:ascii="Times New Roman" w:hAnsi="Times New Roman" w:cs="Times New Roman"/>
          <w:color w:val="000000" w:themeColor="text1"/>
        </w:rPr>
        <w:t>and Exchange Main All Shares index (</w:t>
      </w:r>
      <w:r w:rsidRPr="00511126">
        <w:rPr>
          <w:rFonts w:ascii="Times New Roman" w:hAnsi="Times New Roman" w:cs="Times New Roman"/>
          <w:color w:val="000000" w:themeColor="text1"/>
        </w:rPr>
        <w:t>EMAS</w:t>
      </w:r>
      <w:r w:rsidR="00150BF6" w:rsidRPr="00511126">
        <w:rPr>
          <w:rFonts w:ascii="Times New Roman" w:hAnsi="Times New Roman" w:cs="Times New Roman"/>
          <w:color w:val="000000" w:themeColor="text1"/>
        </w:rPr>
        <w:t>)</w:t>
      </w:r>
      <w:r w:rsidRPr="00511126">
        <w:rPr>
          <w:rFonts w:ascii="Times New Roman" w:hAnsi="Times New Roman" w:cs="Times New Roman"/>
          <w:color w:val="000000" w:themeColor="text1"/>
        </w:rPr>
        <w:t xml:space="preserve"> by utilizing the GARCH, EGARCH and TARCH models.</w:t>
      </w:r>
      <w:r w:rsidR="00083AE2" w:rsidRPr="00511126">
        <w:rPr>
          <w:rFonts w:ascii="Times New Roman" w:hAnsi="Times New Roman" w:cs="Times New Roman"/>
          <w:color w:val="000000" w:themeColor="text1"/>
        </w:rPr>
        <w:t xml:space="preserve"> </w:t>
      </w:r>
      <w:proofErr w:type="spellStart"/>
      <w:r w:rsidR="00083AE2" w:rsidRPr="00511126">
        <w:rPr>
          <w:rFonts w:ascii="Times New Roman" w:hAnsi="Times New Roman" w:cs="Times New Roman"/>
          <w:color w:val="000000" w:themeColor="text1"/>
        </w:rPr>
        <w:t>Jie</w:t>
      </w:r>
      <w:proofErr w:type="spellEnd"/>
      <w:r w:rsidR="00083AE2" w:rsidRPr="00511126">
        <w:rPr>
          <w:rFonts w:ascii="Times New Roman" w:hAnsi="Times New Roman" w:cs="Times New Roman"/>
          <w:color w:val="000000" w:themeColor="text1"/>
        </w:rPr>
        <w:t xml:space="preserve"> (2007) argue</w:t>
      </w:r>
      <w:r w:rsidR="00E4663E" w:rsidRPr="00511126">
        <w:rPr>
          <w:rFonts w:ascii="Times New Roman" w:hAnsi="Times New Roman" w:cs="Times New Roman"/>
          <w:color w:val="000000" w:themeColor="text1"/>
        </w:rPr>
        <w:t>s</w:t>
      </w:r>
      <w:r w:rsidR="00083AE2" w:rsidRPr="00511126">
        <w:rPr>
          <w:rFonts w:ascii="Times New Roman" w:hAnsi="Times New Roman" w:cs="Times New Roman"/>
          <w:color w:val="000000" w:themeColor="text1"/>
        </w:rPr>
        <w:t xml:space="preserve"> that the volatility</w:t>
      </w:r>
      <w:r w:rsidR="00E4663E" w:rsidRPr="00511126">
        <w:rPr>
          <w:rFonts w:ascii="Times New Roman" w:hAnsi="Times New Roman" w:cs="Times New Roman"/>
          <w:color w:val="000000" w:themeColor="text1"/>
        </w:rPr>
        <w:t xml:space="preserve"> of stock pri</w:t>
      </w:r>
      <w:r w:rsidR="00083AE2" w:rsidRPr="00511126">
        <w:rPr>
          <w:rFonts w:ascii="Times New Roman" w:hAnsi="Times New Roman" w:cs="Times New Roman"/>
          <w:color w:val="000000" w:themeColor="text1"/>
        </w:rPr>
        <w:t xml:space="preserve">ce in Malaysia is not highly persistent and this is often observed in high frequency financial data. </w:t>
      </w:r>
    </w:p>
    <w:p w14:paraId="7E5D8641" w14:textId="77777777" w:rsidR="00FE290F" w:rsidRPr="00DC0AFF" w:rsidRDefault="00FE290F" w:rsidP="00FE290F">
      <w:pPr>
        <w:spacing w:after="0" w:line="240" w:lineRule="auto"/>
        <w:jc w:val="both"/>
        <w:rPr>
          <w:rFonts w:ascii="Times New Roman" w:hAnsi="Times New Roman" w:cs="Times New Roman"/>
          <w:color w:val="000000" w:themeColor="text1"/>
        </w:rPr>
      </w:pPr>
    </w:p>
    <w:p w14:paraId="64F4588F" w14:textId="77777777" w:rsidR="00FE26D1" w:rsidRPr="00DC0AFF" w:rsidRDefault="00FE26D1" w:rsidP="00FE290F">
      <w:pPr>
        <w:spacing w:after="0" w:line="240" w:lineRule="auto"/>
        <w:jc w:val="both"/>
        <w:rPr>
          <w:rFonts w:ascii="Times New Roman" w:hAnsi="Times New Roman" w:cs="Times New Roman"/>
          <w:b/>
          <w:color w:val="000000" w:themeColor="text1"/>
        </w:rPr>
      </w:pPr>
      <w:r w:rsidRPr="00DC0AFF">
        <w:rPr>
          <w:rFonts w:ascii="Times New Roman" w:hAnsi="Times New Roman" w:cs="Times New Roman"/>
          <w:b/>
          <w:color w:val="000000" w:themeColor="text1"/>
        </w:rPr>
        <w:t>3.</w:t>
      </w:r>
      <w:r w:rsidRPr="00DC0AFF">
        <w:rPr>
          <w:rFonts w:ascii="Times New Roman" w:hAnsi="Times New Roman" w:cs="Times New Roman"/>
          <w:b/>
          <w:color w:val="000000" w:themeColor="text1"/>
        </w:rPr>
        <w:tab/>
        <w:t>Data and Method</w:t>
      </w:r>
    </w:p>
    <w:p w14:paraId="0CF643FD" w14:textId="77777777" w:rsidR="00E11E8A" w:rsidRPr="00EE64BE" w:rsidRDefault="00E11E8A" w:rsidP="00FE290F">
      <w:pPr>
        <w:spacing w:after="0" w:line="240" w:lineRule="auto"/>
        <w:jc w:val="both"/>
        <w:rPr>
          <w:rFonts w:ascii="Tahoma" w:hAnsi="Tahoma" w:cs="Tahoma"/>
          <w:color w:val="000000" w:themeColor="text1"/>
        </w:rPr>
      </w:pPr>
    </w:p>
    <w:p w14:paraId="5E9AF2D0" w14:textId="441CBE68" w:rsidR="00FE26D1" w:rsidRDefault="00FE26D1" w:rsidP="00FE290F">
      <w:pPr>
        <w:spacing w:after="0" w:line="240" w:lineRule="auto"/>
        <w:jc w:val="both"/>
        <w:rPr>
          <w:rFonts w:ascii="Times New Roman" w:hAnsi="Times New Roman" w:cs="Times New Roman"/>
          <w:color w:val="000000" w:themeColor="text1"/>
        </w:rPr>
      </w:pPr>
      <w:r w:rsidRPr="00DC0AFF">
        <w:rPr>
          <w:rFonts w:ascii="Times New Roman" w:hAnsi="Times New Roman" w:cs="Times New Roman"/>
          <w:color w:val="000000" w:themeColor="text1"/>
        </w:rPr>
        <w:t xml:space="preserve">The current paper uses secondary data acquired from the Thomson Reuters </w:t>
      </w:r>
      <w:proofErr w:type="spellStart"/>
      <w:r w:rsidRPr="00DC0AFF">
        <w:rPr>
          <w:rFonts w:ascii="Times New Roman" w:hAnsi="Times New Roman" w:cs="Times New Roman"/>
          <w:color w:val="000000" w:themeColor="text1"/>
        </w:rPr>
        <w:t>Datastream</w:t>
      </w:r>
      <w:proofErr w:type="spellEnd"/>
      <w:r w:rsidRPr="00DC0AFF">
        <w:rPr>
          <w:rFonts w:ascii="Times New Roman" w:hAnsi="Times New Roman" w:cs="Times New Roman"/>
          <w:color w:val="000000" w:themeColor="text1"/>
        </w:rPr>
        <w:t xml:space="preserve">. Individual firm stock prices listed in Bursa Malaysia, formerly known as the Kuala Lumpur Stock Exchange (KLSE), are obtained. Several other online databases are also utilized to retrieve supporting data important for the </w:t>
      </w:r>
      <w:r w:rsidRPr="00DC0AFF">
        <w:rPr>
          <w:rFonts w:ascii="Times New Roman" w:hAnsi="Times New Roman" w:cs="Times New Roman"/>
          <w:color w:val="000000" w:themeColor="text1"/>
        </w:rPr>
        <w:lastRenderedPageBreak/>
        <w:t>study. All firms listed in the Bursa Malaysia that have 20 years (1995 until 2015) of monthly data availability and without outliers, are included.</w:t>
      </w:r>
    </w:p>
    <w:p w14:paraId="1DC1759F" w14:textId="77777777" w:rsidR="00DF63D2" w:rsidRPr="00DC0AFF" w:rsidRDefault="00DF63D2" w:rsidP="00FE290F">
      <w:pPr>
        <w:spacing w:after="0" w:line="240" w:lineRule="auto"/>
        <w:jc w:val="both"/>
        <w:rPr>
          <w:rFonts w:ascii="Times New Roman" w:hAnsi="Times New Roman" w:cs="Times New Roman"/>
          <w:color w:val="000000" w:themeColor="text1"/>
        </w:rPr>
      </w:pPr>
    </w:p>
    <w:p w14:paraId="7961EE59" w14:textId="77777777" w:rsidR="00FE26D1" w:rsidRDefault="00785AE9" w:rsidP="00FE290F">
      <w:pPr>
        <w:spacing w:after="0" w:line="240" w:lineRule="auto"/>
        <w:ind w:firstLine="720"/>
        <w:jc w:val="both"/>
        <w:rPr>
          <w:rFonts w:ascii="Tahoma" w:hAnsi="Tahoma" w:cs="Tahoma"/>
          <w:color w:val="000000" w:themeColor="text1"/>
        </w:rPr>
      </w:pPr>
      <w:r w:rsidRPr="00DC0AFF">
        <w:rPr>
          <w:rFonts w:ascii="Times New Roman" w:hAnsi="Times New Roman" w:cs="Times New Roman"/>
        </w:rPr>
        <w:t xml:space="preserve">This current paper utilizes the </w:t>
      </w:r>
      <w:r w:rsidR="00FC6432" w:rsidRPr="00DC0AFF">
        <w:rPr>
          <w:rFonts w:ascii="Times New Roman" w:hAnsi="Times New Roman" w:cs="Times New Roman"/>
        </w:rPr>
        <w:t xml:space="preserve">Exponential Generalized Autoregressive Conditional Heteroskedasticity </w:t>
      </w:r>
      <w:r w:rsidRPr="00DC0AFF">
        <w:rPr>
          <w:rFonts w:ascii="Times New Roman" w:hAnsi="Times New Roman" w:cs="Times New Roman"/>
        </w:rPr>
        <w:t>(</w:t>
      </w:r>
      <w:r w:rsidR="00FC6432" w:rsidRPr="00DC0AFF">
        <w:rPr>
          <w:rFonts w:ascii="Times New Roman" w:hAnsi="Times New Roman" w:cs="Times New Roman"/>
        </w:rPr>
        <w:t>EGARCH</w:t>
      </w:r>
      <w:r w:rsidRPr="00DC0AFF">
        <w:rPr>
          <w:rFonts w:ascii="Times New Roman" w:hAnsi="Times New Roman" w:cs="Times New Roman"/>
        </w:rPr>
        <w:t>) to analyze stock returns volatility of Malaysia. EGARCH</w:t>
      </w:r>
      <w:r w:rsidR="00B45489" w:rsidRPr="00DC0AFF">
        <w:rPr>
          <w:rFonts w:ascii="Times New Roman" w:hAnsi="Times New Roman" w:cs="Times New Roman"/>
        </w:rPr>
        <w:t xml:space="preserve"> is constructed by Nelson (1991</w:t>
      </w:r>
      <w:r w:rsidR="00FC6432" w:rsidRPr="00DC0AFF">
        <w:rPr>
          <w:rFonts w:ascii="Times New Roman" w:hAnsi="Times New Roman" w:cs="Times New Roman"/>
        </w:rPr>
        <w:t>) as a method to analyze dynamic volatility and is extended from the Autoregressive Conditional Heteroskedasticity (ARCH) model introduced by Engle (1982) over the concerns of variance that changes over time. Consider a conditional distribution of individual firm excess returns</w:t>
      </w:r>
      <w:r w:rsidR="00D05DAB">
        <w:rPr>
          <w:rFonts w:ascii="Times New Roman" w:hAnsi="Times New Roman" w:cs="Times New Roman"/>
        </w:rPr>
        <w:t xml:space="preserve"> (</w:t>
      </w:r>
      <m:oMath>
        <m:sSub>
          <m:sSubPr>
            <m:ctrlPr>
              <w:rPr>
                <w:rFonts w:ascii="Cambria Math" w:hAnsi="Cambria Math" w:cs="Tahoma"/>
                <w:i/>
                <w:color w:val="000000" w:themeColor="text1"/>
              </w:rPr>
            </m:ctrlPr>
          </m:sSubPr>
          <m:e>
            <m:r>
              <w:rPr>
                <w:rFonts w:ascii="Cambria Math" w:hAnsi="Cambria Math" w:cs="Tahoma"/>
                <w:color w:val="000000" w:themeColor="text1"/>
              </w:rPr>
              <m:t>r</m:t>
            </m:r>
          </m:e>
          <m:sub>
            <m:r>
              <w:rPr>
                <w:rFonts w:ascii="Cambria Math" w:hAnsi="Cambria Math" w:cs="Tahoma"/>
                <w:color w:val="000000" w:themeColor="text1"/>
              </w:rPr>
              <m:t>it</m:t>
            </m:r>
          </m:sub>
        </m:sSub>
        <m:r>
          <w:rPr>
            <w:rFonts w:ascii="Cambria Math" w:hAnsi="Cambria Math" w:cs="Tahoma"/>
            <w:color w:val="000000" w:themeColor="text1"/>
          </w:rPr>
          <m:t xml:space="preserve">- </m:t>
        </m:r>
        <m:sSub>
          <m:sSubPr>
            <m:ctrlPr>
              <w:rPr>
                <w:rFonts w:ascii="Cambria Math" w:hAnsi="Cambria Math" w:cs="Tahoma"/>
                <w:i/>
              </w:rPr>
            </m:ctrlPr>
          </m:sSubPr>
          <m:e>
            <m:r>
              <w:rPr>
                <w:rFonts w:ascii="Cambria Math" w:hAnsi="Cambria Math" w:cs="Tahoma"/>
              </w:rPr>
              <m:t>r</m:t>
            </m:r>
          </m:e>
          <m:sub>
            <m:r>
              <w:rPr>
                <w:rFonts w:ascii="Cambria Math" w:hAnsi="Cambria Math" w:cs="Tahoma"/>
              </w:rPr>
              <m:t>ft</m:t>
            </m:r>
          </m:sub>
        </m:sSub>
      </m:oMath>
      <w:r w:rsidR="00D05DAB">
        <w:rPr>
          <w:rFonts w:ascii="Times New Roman" w:hAnsi="Times New Roman" w:cs="Times New Roman"/>
        </w:rPr>
        <w:t>)</w:t>
      </w:r>
      <w:r w:rsidR="00D05DAB">
        <w:rPr>
          <w:rFonts w:ascii="Tahoma" w:hAnsi="Tahoma" w:cs="Tahoma"/>
        </w:rPr>
        <w:t xml:space="preserve"> </w:t>
      </w:r>
      <w:r w:rsidR="00FC6432" w:rsidRPr="00DC0AFF">
        <w:rPr>
          <w:rFonts w:ascii="Times New Roman" w:hAnsi="Times New Roman" w:cs="Times New Roman"/>
        </w:rPr>
        <w:t>as shown below</w:t>
      </w:r>
      <w:r w:rsidR="00FE26D1" w:rsidRPr="00DC0AFF">
        <w:rPr>
          <w:rStyle w:val="FootnoteReference"/>
          <w:rFonts w:ascii="Times New Roman" w:hAnsi="Times New Roman" w:cs="Times New Roman"/>
          <w:color w:val="000000" w:themeColor="text1"/>
        </w:rPr>
        <w:footnoteReference w:id="2"/>
      </w:r>
      <w:r w:rsidR="00F95ACA" w:rsidRPr="00DC0AFF">
        <w:rPr>
          <w:rFonts w:ascii="Times New Roman" w:hAnsi="Times New Roman" w:cs="Times New Roman"/>
          <w:color w:val="000000" w:themeColor="text1"/>
        </w:rPr>
        <w:t>:</w:t>
      </w:r>
    </w:p>
    <w:p w14:paraId="3D01D5E7" w14:textId="77777777" w:rsidR="0091421C" w:rsidRDefault="0091421C" w:rsidP="00FE290F">
      <w:pPr>
        <w:spacing w:after="0" w:line="240" w:lineRule="auto"/>
        <w:jc w:val="both"/>
        <w:rPr>
          <w:rFonts w:ascii="Tahoma" w:hAnsi="Tahoma" w:cs="Tahoma"/>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0"/>
      </w:tblGrid>
      <w:tr w:rsidR="0091421C" w:rsidRPr="000021F0" w14:paraId="0C2F6BA0" w14:textId="77777777" w:rsidTr="000567A2">
        <w:trPr>
          <w:trHeight w:val="355"/>
        </w:trPr>
        <w:tc>
          <w:tcPr>
            <w:tcW w:w="4878" w:type="dxa"/>
          </w:tcPr>
          <w:p w14:paraId="0A77C547" w14:textId="77777777" w:rsidR="0091421C" w:rsidRPr="000021F0" w:rsidRDefault="00370730" w:rsidP="00FE290F">
            <w:pPr>
              <w:jc w:val="center"/>
              <w:rPr>
                <w:rFonts w:ascii="Tahoma" w:hAnsi="Tahoma" w:cs="Tahoma"/>
                <w:color w:val="000000" w:themeColor="text1"/>
              </w:rPr>
            </w:pPr>
            <m:oMathPara>
              <m:oMathParaPr>
                <m:jc m:val="left"/>
              </m:oMathParaPr>
              <m:oMath>
                <m:sSub>
                  <m:sSubPr>
                    <m:ctrlPr>
                      <w:rPr>
                        <w:rFonts w:ascii="Cambria Math" w:hAnsi="Cambria Math" w:cs="Tahoma"/>
                        <w:i/>
                        <w:color w:val="000000" w:themeColor="text1"/>
                      </w:rPr>
                    </m:ctrlPr>
                  </m:sSubPr>
                  <m:e>
                    <m:r>
                      <w:rPr>
                        <w:rFonts w:ascii="Cambria Math" w:hAnsi="Cambria Math" w:cs="Tahoma"/>
                        <w:color w:val="000000" w:themeColor="text1"/>
                      </w:rPr>
                      <m:t>r</m:t>
                    </m:r>
                  </m:e>
                  <m:sub>
                    <m:r>
                      <w:rPr>
                        <w:rFonts w:ascii="Cambria Math" w:hAnsi="Cambria Math" w:cs="Tahoma"/>
                        <w:color w:val="000000" w:themeColor="text1"/>
                      </w:rPr>
                      <m:t>it</m:t>
                    </m:r>
                  </m:sub>
                </m:sSub>
                <m:r>
                  <w:rPr>
                    <w:rFonts w:ascii="Cambria Math" w:hAnsi="Cambria Math" w:cs="Tahoma"/>
                    <w:color w:val="000000" w:themeColor="text1"/>
                  </w:rPr>
                  <m:t xml:space="preserve">- </m:t>
                </m:r>
                <m:sSub>
                  <m:sSubPr>
                    <m:ctrlPr>
                      <w:rPr>
                        <w:rFonts w:ascii="Cambria Math" w:hAnsi="Cambria Math" w:cs="Tahoma"/>
                        <w:i/>
                      </w:rPr>
                    </m:ctrlPr>
                  </m:sSubPr>
                  <m:e>
                    <m:r>
                      <w:rPr>
                        <w:rFonts w:ascii="Cambria Math" w:hAnsi="Cambria Math" w:cs="Tahoma"/>
                      </w:rPr>
                      <m:t>r</m:t>
                    </m:r>
                  </m:e>
                  <m:sub>
                    <m:r>
                      <w:rPr>
                        <w:rFonts w:ascii="Cambria Math" w:hAnsi="Cambria Math" w:cs="Tahoma"/>
                      </w:rPr>
                      <m:t>ft</m:t>
                    </m:r>
                  </m:sub>
                </m:sSub>
                <m:r>
                  <w:rPr>
                    <w:rFonts w:ascii="Cambria Math" w:hAnsi="Cambria Math" w:cs="Tahoma"/>
                    <w:color w:val="000000" w:themeColor="text1"/>
                  </w:rPr>
                  <m:t xml:space="preserve">= </m:t>
                </m:r>
                <m:sSub>
                  <m:sSubPr>
                    <m:ctrlPr>
                      <w:rPr>
                        <w:rFonts w:ascii="Cambria Math" w:hAnsi="Cambria Math" w:cs="Tahoma"/>
                        <w:i/>
                        <w:color w:val="000000" w:themeColor="text1"/>
                      </w:rPr>
                    </m:ctrlPr>
                  </m:sSubPr>
                  <m:e>
                    <m:r>
                      <w:rPr>
                        <w:rFonts w:ascii="Cambria Math" w:hAnsi="Cambria Math" w:cs="Tahoma"/>
                        <w:color w:val="000000" w:themeColor="text1"/>
                      </w:rPr>
                      <m:t>α</m:t>
                    </m:r>
                  </m:e>
                  <m:sub>
                    <m:r>
                      <w:rPr>
                        <w:rFonts w:ascii="Cambria Math" w:hAnsi="Cambria Math" w:cs="Tahoma"/>
                        <w:color w:val="000000" w:themeColor="text1"/>
                      </w:rPr>
                      <m:t>i</m:t>
                    </m:r>
                  </m:sub>
                </m:sSub>
                <m:r>
                  <w:rPr>
                    <w:rFonts w:ascii="Cambria Math" w:hAnsi="Cambria Math" w:cs="Tahoma"/>
                    <w:color w:val="000000" w:themeColor="text1"/>
                  </w:rPr>
                  <m:t>+</m:t>
                </m:r>
                <m:sSub>
                  <m:sSubPr>
                    <m:ctrlPr>
                      <w:rPr>
                        <w:rFonts w:ascii="Cambria Math" w:hAnsi="Cambria Math" w:cs="Tahoma"/>
                        <w:i/>
                        <w:color w:val="000000" w:themeColor="text1"/>
                      </w:rPr>
                    </m:ctrlPr>
                  </m:sSubPr>
                  <m:e>
                    <m:r>
                      <w:rPr>
                        <w:rFonts w:ascii="Cambria Math" w:hAnsi="Cambria Math" w:cs="Tahoma"/>
                        <w:color w:val="000000" w:themeColor="text1"/>
                      </w:rPr>
                      <m:t>β</m:t>
                    </m:r>
                  </m:e>
                  <m:sub>
                    <m:r>
                      <w:rPr>
                        <w:rFonts w:ascii="Cambria Math" w:hAnsi="Cambria Math" w:cs="Tahoma"/>
                        <w:color w:val="000000" w:themeColor="text1"/>
                      </w:rPr>
                      <m:t>i</m:t>
                    </m:r>
                  </m:sub>
                </m:sSub>
                <m:sSub>
                  <m:sSubPr>
                    <m:ctrlPr>
                      <w:rPr>
                        <w:rFonts w:ascii="Cambria Math" w:hAnsi="Cambria Math" w:cs="Tahoma"/>
                        <w:i/>
                        <w:color w:val="000000" w:themeColor="text1"/>
                      </w:rPr>
                    </m:ctrlPr>
                  </m:sSubPr>
                  <m:e>
                    <m:r>
                      <w:rPr>
                        <w:rFonts w:ascii="Cambria Math" w:hAnsi="Cambria Math" w:cs="Tahoma"/>
                        <w:color w:val="000000" w:themeColor="text1"/>
                      </w:rPr>
                      <m:t>X'</m:t>
                    </m:r>
                  </m:e>
                  <m:sub>
                    <m:r>
                      <w:rPr>
                        <w:rFonts w:ascii="Cambria Math" w:hAnsi="Cambria Math" w:cs="Tahoma"/>
                        <w:color w:val="000000" w:themeColor="text1"/>
                      </w:rPr>
                      <m:t>it</m:t>
                    </m:r>
                  </m:sub>
                </m:sSub>
                <m:r>
                  <w:rPr>
                    <w:rFonts w:ascii="Cambria Math" w:hAnsi="Cambria Math" w:cs="Tahoma"/>
                    <w:color w:val="000000" w:themeColor="text1"/>
                  </w:rPr>
                  <m:t xml:space="preserve">+ </m:t>
                </m:r>
                <m:sSub>
                  <m:sSubPr>
                    <m:ctrlPr>
                      <w:rPr>
                        <w:rFonts w:ascii="Cambria Math" w:hAnsi="Cambria Math" w:cs="Tahoma"/>
                        <w:i/>
                        <w:color w:val="000000" w:themeColor="text1"/>
                      </w:rPr>
                    </m:ctrlPr>
                  </m:sSubPr>
                  <m:e>
                    <m:r>
                      <w:rPr>
                        <w:rFonts w:ascii="Cambria Math" w:hAnsi="Cambria Math" w:cs="Tahoma"/>
                        <w:color w:val="000000" w:themeColor="text1"/>
                      </w:rPr>
                      <m:t>u</m:t>
                    </m:r>
                  </m:e>
                  <m:sub>
                    <m:r>
                      <w:rPr>
                        <w:rFonts w:ascii="Cambria Math" w:hAnsi="Cambria Math" w:cs="Tahoma"/>
                        <w:color w:val="000000" w:themeColor="text1"/>
                      </w:rPr>
                      <m:t>it</m:t>
                    </m:r>
                  </m:sub>
                </m:sSub>
              </m:oMath>
            </m:oMathPara>
          </w:p>
        </w:tc>
        <w:tc>
          <w:tcPr>
            <w:tcW w:w="4500" w:type="dxa"/>
          </w:tcPr>
          <w:p w14:paraId="2FD7FDC6" w14:textId="77777777" w:rsidR="0091421C" w:rsidRPr="00C96366" w:rsidRDefault="000567A2" w:rsidP="00FE290F">
            <w:pPr>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r w:rsidR="0091421C" w:rsidRPr="00C96366">
              <w:rPr>
                <w:rFonts w:ascii="Times New Roman" w:hAnsi="Times New Roman" w:cs="Times New Roman"/>
                <w:color w:val="000000" w:themeColor="text1"/>
              </w:rPr>
              <w:t>(1)</w:t>
            </w:r>
          </w:p>
        </w:tc>
      </w:tr>
    </w:tbl>
    <w:p w14:paraId="124092AC" w14:textId="77777777" w:rsidR="00FE290F" w:rsidRDefault="00FE290F" w:rsidP="00FE290F">
      <w:pPr>
        <w:spacing w:after="0" w:line="240" w:lineRule="auto"/>
        <w:ind w:firstLine="720"/>
        <w:jc w:val="both"/>
        <w:rPr>
          <w:rFonts w:ascii="Times New Roman" w:hAnsi="Times New Roman" w:cs="Times New Roman"/>
          <w:color w:val="000000" w:themeColor="text1"/>
        </w:rPr>
      </w:pPr>
    </w:p>
    <w:p w14:paraId="52479724" w14:textId="77777777" w:rsidR="00FE26D1" w:rsidRPr="003E298B" w:rsidRDefault="00FE26D1" w:rsidP="00FE290F">
      <w:pPr>
        <w:spacing w:after="0" w:line="240" w:lineRule="auto"/>
        <w:jc w:val="both"/>
        <w:outlineLvl w:val="0"/>
        <w:rPr>
          <w:rFonts w:ascii="Times New Roman" w:hAnsi="Times New Roman" w:cs="Times New Roman"/>
          <w:b/>
          <w:color w:val="000000" w:themeColor="text1"/>
        </w:rPr>
      </w:pPr>
      <w:r w:rsidRPr="003E298B">
        <w:rPr>
          <w:rFonts w:ascii="Times New Roman" w:hAnsi="Times New Roman" w:cs="Times New Roman"/>
          <w:b/>
          <w:color w:val="000000" w:themeColor="text1"/>
        </w:rPr>
        <w:t xml:space="preserve">4.0 </w:t>
      </w:r>
      <w:r w:rsidRPr="003E298B">
        <w:rPr>
          <w:rFonts w:ascii="Times New Roman" w:hAnsi="Times New Roman" w:cs="Times New Roman"/>
          <w:b/>
          <w:color w:val="000000" w:themeColor="text1"/>
        </w:rPr>
        <w:tab/>
        <w:t>Results</w:t>
      </w:r>
    </w:p>
    <w:p w14:paraId="1F7E24EF" w14:textId="77777777" w:rsidR="005B16B9" w:rsidRPr="003E298B" w:rsidRDefault="005B16B9" w:rsidP="00FE290F">
      <w:pPr>
        <w:spacing w:after="0" w:line="240" w:lineRule="auto"/>
        <w:jc w:val="both"/>
        <w:outlineLvl w:val="0"/>
        <w:rPr>
          <w:rFonts w:ascii="Times New Roman" w:hAnsi="Times New Roman" w:cs="Times New Roman"/>
          <w:color w:val="000000" w:themeColor="text1"/>
        </w:rPr>
      </w:pPr>
    </w:p>
    <w:p w14:paraId="455BAB08" w14:textId="59B7E937" w:rsidR="00FE26D1" w:rsidRPr="003E298B" w:rsidRDefault="00FE26D1" w:rsidP="00FE290F">
      <w:pPr>
        <w:spacing w:after="0" w:line="240" w:lineRule="auto"/>
        <w:jc w:val="both"/>
        <w:outlineLvl w:val="0"/>
        <w:rPr>
          <w:rFonts w:ascii="Times New Roman" w:hAnsi="Times New Roman" w:cs="Times New Roman"/>
          <w:color w:val="000000" w:themeColor="text1"/>
        </w:rPr>
      </w:pPr>
      <w:r w:rsidRPr="003E298B">
        <w:rPr>
          <w:rFonts w:ascii="Times New Roman" w:hAnsi="Times New Roman" w:cs="Times New Roman"/>
          <w:color w:val="000000" w:themeColor="text1"/>
        </w:rPr>
        <w:t>4.1</w:t>
      </w:r>
      <w:r w:rsidR="00EE564E">
        <w:rPr>
          <w:rFonts w:ascii="Times New Roman" w:hAnsi="Times New Roman" w:cs="Times New Roman"/>
          <w:color w:val="000000" w:themeColor="text1"/>
        </w:rPr>
        <w:tab/>
      </w:r>
      <w:r w:rsidRPr="003E298B">
        <w:rPr>
          <w:rFonts w:ascii="Times New Roman" w:hAnsi="Times New Roman" w:cs="Times New Roman"/>
          <w:color w:val="000000" w:themeColor="text1"/>
        </w:rPr>
        <w:t>Stock Returns Volatility Average for the Economic Sector</w:t>
      </w:r>
    </w:p>
    <w:p w14:paraId="68BD3350" w14:textId="77777777" w:rsidR="00225546" w:rsidRPr="003E298B" w:rsidRDefault="00225546" w:rsidP="00FE290F">
      <w:pPr>
        <w:spacing w:after="0" w:line="240" w:lineRule="auto"/>
        <w:jc w:val="both"/>
        <w:outlineLvl w:val="0"/>
        <w:rPr>
          <w:rFonts w:ascii="Times New Roman" w:hAnsi="Times New Roman" w:cs="Times New Roman"/>
          <w:color w:val="000000" w:themeColor="text1"/>
        </w:rPr>
      </w:pPr>
    </w:p>
    <w:p w14:paraId="3D6662FF" w14:textId="77777777" w:rsidR="00FE290F" w:rsidRPr="009608B9" w:rsidRDefault="00FE290F" w:rsidP="00FE290F">
      <w:pPr>
        <w:spacing w:after="0" w:line="240" w:lineRule="auto"/>
        <w:jc w:val="center"/>
        <w:outlineLvl w:val="0"/>
        <w:rPr>
          <w:rFonts w:ascii="Times New Roman" w:hAnsi="Times New Roman" w:cs="Times New Roman"/>
          <w:b/>
          <w:color w:val="000000" w:themeColor="text1"/>
        </w:rPr>
      </w:pPr>
      <w:r w:rsidRPr="00DF63D2">
        <w:rPr>
          <w:rFonts w:ascii="Times New Roman" w:hAnsi="Times New Roman" w:cs="Times New Roman"/>
          <w:color w:val="000000" w:themeColor="text1"/>
        </w:rPr>
        <w:t>Table 1</w:t>
      </w:r>
      <w:r w:rsidRPr="00DF63D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608B9">
        <w:rPr>
          <w:rFonts w:ascii="Times New Roman" w:hAnsi="Times New Roman" w:cs="Times New Roman"/>
          <w:color w:val="000000" w:themeColor="text1"/>
        </w:rPr>
        <w:t>Average Stock Returns Volatility for The Economic Sector</w:t>
      </w:r>
    </w:p>
    <w:tbl>
      <w:tblPr>
        <w:tblStyle w:val="TableGrid"/>
        <w:tblW w:w="0" w:type="auto"/>
        <w:tblLook w:val="04A0" w:firstRow="1" w:lastRow="0" w:firstColumn="1" w:lastColumn="0" w:noHBand="0" w:noVBand="1"/>
      </w:tblPr>
      <w:tblGrid>
        <w:gridCol w:w="4788"/>
        <w:gridCol w:w="4788"/>
      </w:tblGrid>
      <w:tr w:rsidR="00FE290F" w:rsidRPr="009608B9" w14:paraId="1C33D6E7" w14:textId="77777777" w:rsidTr="00957A7B">
        <w:tc>
          <w:tcPr>
            <w:tcW w:w="4788" w:type="dxa"/>
            <w:shd w:val="clear" w:color="auto" w:fill="D9D9D9" w:themeFill="background1" w:themeFillShade="D9"/>
            <w:vAlign w:val="center"/>
          </w:tcPr>
          <w:p w14:paraId="1BF0AFCC" w14:textId="77777777" w:rsidR="00FE290F" w:rsidRPr="009608B9" w:rsidRDefault="00FE290F" w:rsidP="00957A7B">
            <w:pPr>
              <w:tabs>
                <w:tab w:val="left" w:pos="2223"/>
              </w:tabs>
              <w:jc w:val="center"/>
              <w:rPr>
                <w:rFonts w:ascii="Times New Roman" w:hAnsi="Times New Roman" w:cs="Times New Roman"/>
                <w:b/>
                <w:color w:val="000000" w:themeColor="text1"/>
              </w:rPr>
            </w:pPr>
            <w:r w:rsidRPr="009608B9">
              <w:rPr>
                <w:rFonts w:ascii="Times New Roman" w:hAnsi="Times New Roman" w:cs="Times New Roman"/>
                <w:b/>
                <w:color w:val="000000" w:themeColor="text1"/>
              </w:rPr>
              <w:t>Economic Sector</w:t>
            </w:r>
          </w:p>
        </w:tc>
        <w:tc>
          <w:tcPr>
            <w:tcW w:w="4788" w:type="dxa"/>
            <w:shd w:val="clear" w:color="auto" w:fill="D9D9D9" w:themeFill="background1" w:themeFillShade="D9"/>
            <w:vAlign w:val="center"/>
          </w:tcPr>
          <w:p w14:paraId="7B94F2CF" w14:textId="77777777" w:rsidR="00FE290F" w:rsidRPr="009608B9" w:rsidRDefault="00FE290F" w:rsidP="00957A7B">
            <w:pPr>
              <w:tabs>
                <w:tab w:val="left" w:pos="2223"/>
              </w:tabs>
              <w:jc w:val="center"/>
              <w:rPr>
                <w:rFonts w:ascii="Times New Roman" w:hAnsi="Times New Roman" w:cs="Times New Roman"/>
                <w:b/>
                <w:color w:val="000000" w:themeColor="text1"/>
              </w:rPr>
            </w:pPr>
            <w:r w:rsidRPr="009608B9">
              <w:rPr>
                <w:rFonts w:ascii="Times New Roman" w:hAnsi="Times New Roman" w:cs="Times New Roman"/>
                <w:b/>
                <w:color w:val="000000" w:themeColor="text1"/>
              </w:rPr>
              <w:t>Average Stock Returns Volatility Level</w:t>
            </w:r>
          </w:p>
        </w:tc>
      </w:tr>
      <w:tr w:rsidR="00FE290F" w:rsidRPr="009608B9" w14:paraId="65A3EE4E" w14:textId="77777777" w:rsidTr="00957A7B">
        <w:tc>
          <w:tcPr>
            <w:tcW w:w="4788" w:type="dxa"/>
            <w:vAlign w:val="center"/>
          </w:tcPr>
          <w:p w14:paraId="0BC81E62"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Basic Materials</w:t>
            </w:r>
          </w:p>
        </w:tc>
        <w:tc>
          <w:tcPr>
            <w:tcW w:w="4788" w:type="dxa"/>
            <w:vAlign w:val="center"/>
          </w:tcPr>
          <w:p w14:paraId="17424D80"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0.031379</w:t>
            </w:r>
          </w:p>
        </w:tc>
      </w:tr>
      <w:tr w:rsidR="00FE290F" w:rsidRPr="009608B9" w14:paraId="5C6AA6CC" w14:textId="77777777" w:rsidTr="00957A7B">
        <w:tc>
          <w:tcPr>
            <w:tcW w:w="4788" w:type="dxa"/>
            <w:vAlign w:val="center"/>
          </w:tcPr>
          <w:p w14:paraId="5CFA1920"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Consumer Cyclical</w:t>
            </w:r>
          </w:p>
        </w:tc>
        <w:tc>
          <w:tcPr>
            <w:tcW w:w="4788" w:type="dxa"/>
            <w:vAlign w:val="center"/>
          </w:tcPr>
          <w:p w14:paraId="01A2C4F5"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0.02604</w:t>
            </w:r>
          </w:p>
        </w:tc>
      </w:tr>
      <w:tr w:rsidR="00FE290F" w:rsidRPr="009608B9" w14:paraId="4341FEBA" w14:textId="77777777" w:rsidTr="00957A7B">
        <w:tc>
          <w:tcPr>
            <w:tcW w:w="4788" w:type="dxa"/>
            <w:vAlign w:val="center"/>
          </w:tcPr>
          <w:p w14:paraId="028DB801"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Consumer Non-Cyclical</w:t>
            </w:r>
          </w:p>
        </w:tc>
        <w:tc>
          <w:tcPr>
            <w:tcW w:w="4788" w:type="dxa"/>
            <w:vAlign w:val="center"/>
          </w:tcPr>
          <w:p w14:paraId="11D8BFC7"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0.019018</w:t>
            </w:r>
          </w:p>
        </w:tc>
      </w:tr>
      <w:tr w:rsidR="00FE290F" w:rsidRPr="009608B9" w14:paraId="3F78774B" w14:textId="77777777" w:rsidTr="00957A7B">
        <w:tc>
          <w:tcPr>
            <w:tcW w:w="4788" w:type="dxa"/>
            <w:vAlign w:val="center"/>
          </w:tcPr>
          <w:p w14:paraId="55D5F059"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Energy</w:t>
            </w:r>
          </w:p>
        </w:tc>
        <w:tc>
          <w:tcPr>
            <w:tcW w:w="4788" w:type="dxa"/>
            <w:vAlign w:val="center"/>
          </w:tcPr>
          <w:p w14:paraId="0B726AD0"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0.016909</w:t>
            </w:r>
          </w:p>
        </w:tc>
      </w:tr>
      <w:tr w:rsidR="00FE290F" w:rsidRPr="009608B9" w14:paraId="661DFD04" w14:textId="77777777" w:rsidTr="00957A7B">
        <w:tc>
          <w:tcPr>
            <w:tcW w:w="4788" w:type="dxa"/>
            <w:vAlign w:val="center"/>
          </w:tcPr>
          <w:p w14:paraId="0B8547E6"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Financial</w:t>
            </w:r>
          </w:p>
        </w:tc>
        <w:tc>
          <w:tcPr>
            <w:tcW w:w="4788" w:type="dxa"/>
            <w:vAlign w:val="center"/>
          </w:tcPr>
          <w:p w14:paraId="1323F941"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0.023319</w:t>
            </w:r>
          </w:p>
        </w:tc>
      </w:tr>
      <w:tr w:rsidR="00FE290F" w:rsidRPr="009608B9" w14:paraId="5AB19018" w14:textId="77777777" w:rsidTr="00957A7B">
        <w:tc>
          <w:tcPr>
            <w:tcW w:w="4788" w:type="dxa"/>
            <w:vAlign w:val="center"/>
          </w:tcPr>
          <w:p w14:paraId="27806A75"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Healthcare</w:t>
            </w:r>
          </w:p>
        </w:tc>
        <w:tc>
          <w:tcPr>
            <w:tcW w:w="4788" w:type="dxa"/>
            <w:vAlign w:val="center"/>
          </w:tcPr>
          <w:p w14:paraId="0480C27B"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0.030562</w:t>
            </w:r>
          </w:p>
        </w:tc>
      </w:tr>
      <w:tr w:rsidR="00FE290F" w:rsidRPr="009608B9" w14:paraId="6C71DFC1" w14:textId="77777777" w:rsidTr="00957A7B">
        <w:tc>
          <w:tcPr>
            <w:tcW w:w="4788" w:type="dxa"/>
            <w:vAlign w:val="center"/>
          </w:tcPr>
          <w:p w14:paraId="68F1D763"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Industrials</w:t>
            </w:r>
          </w:p>
        </w:tc>
        <w:tc>
          <w:tcPr>
            <w:tcW w:w="4788" w:type="dxa"/>
            <w:vAlign w:val="center"/>
          </w:tcPr>
          <w:p w14:paraId="20E0D5AC"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0.025729</w:t>
            </w:r>
          </w:p>
        </w:tc>
      </w:tr>
      <w:tr w:rsidR="00FE290F" w:rsidRPr="009608B9" w14:paraId="3B527F20" w14:textId="77777777" w:rsidTr="00957A7B">
        <w:tc>
          <w:tcPr>
            <w:tcW w:w="4788" w:type="dxa"/>
            <w:vAlign w:val="center"/>
          </w:tcPr>
          <w:p w14:paraId="67A1D8C3"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Technology</w:t>
            </w:r>
          </w:p>
        </w:tc>
        <w:tc>
          <w:tcPr>
            <w:tcW w:w="4788" w:type="dxa"/>
            <w:vAlign w:val="center"/>
          </w:tcPr>
          <w:p w14:paraId="47058F2D"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0.084136</w:t>
            </w:r>
          </w:p>
        </w:tc>
      </w:tr>
      <w:tr w:rsidR="00FE290F" w:rsidRPr="009608B9" w14:paraId="611902E4" w14:textId="77777777" w:rsidTr="00957A7B">
        <w:tc>
          <w:tcPr>
            <w:tcW w:w="4788" w:type="dxa"/>
            <w:vAlign w:val="center"/>
          </w:tcPr>
          <w:p w14:paraId="66E3B6EE"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Telecommunication</w:t>
            </w:r>
          </w:p>
        </w:tc>
        <w:tc>
          <w:tcPr>
            <w:tcW w:w="4788" w:type="dxa"/>
            <w:vAlign w:val="center"/>
          </w:tcPr>
          <w:p w14:paraId="48EDAD2A"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0.006599</w:t>
            </w:r>
          </w:p>
        </w:tc>
      </w:tr>
      <w:tr w:rsidR="00FE290F" w:rsidRPr="009608B9" w14:paraId="2FDCC711" w14:textId="77777777" w:rsidTr="00957A7B">
        <w:tc>
          <w:tcPr>
            <w:tcW w:w="4788" w:type="dxa"/>
            <w:vAlign w:val="center"/>
          </w:tcPr>
          <w:p w14:paraId="1790CE7B" w14:textId="77777777" w:rsidR="00FE290F" w:rsidRPr="009608B9" w:rsidRDefault="00FE290F" w:rsidP="00957A7B">
            <w:pPr>
              <w:rPr>
                <w:rFonts w:ascii="Times New Roman" w:hAnsi="Times New Roman" w:cs="Times New Roman"/>
                <w:color w:val="000000" w:themeColor="text1"/>
              </w:rPr>
            </w:pPr>
            <w:r w:rsidRPr="009608B9">
              <w:rPr>
                <w:rFonts w:ascii="Times New Roman" w:hAnsi="Times New Roman" w:cs="Times New Roman"/>
                <w:color w:val="000000" w:themeColor="text1"/>
              </w:rPr>
              <w:t>Utilities</w:t>
            </w:r>
          </w:p>
        </w:tc>
        <w:tc>
          <w:tcPr>
            <w:tcW w:w="4788" w:type="dxa"/>
            <w:vAlign w:val="center"/>
          </w:tcPr>
          <w:p w14:paraId="294DFC82" w14:textId="77777777" w:rsidR="00FE290F" w:rsidRPr="009608B9" w:rsidRDefault="00FE290F" w:rsidP="00957A7B">
            <w:pPr>
              <w:jc w:val="center"/>
              <w:rPr>
                <w:rFonts w:ascii="Times New Roman" w:hAnsi="Times New Roman" w:cs="Times New Roman"/>
                <w:color w:val="000000" w:themeColor="text1"/>
              </w:rPr>
            </w:pPr>
            <w:r w:rsidRPr="009608B9">
              <w:rPr>
                <w:rFonts w:ascii="Times New Roman" w:hAnsi="Times New Roman" w:cs="Times New Roman"/>
                <w:color w:val="000000" w:themeColor="text1"/>
              </w:rPr>
              <w:t>0.016296</w:t>
            </w:r>
          </w:p>
        </w:tc>
      </w:tr>
    </w:tbl>
    <w:p w14:paraId="43CDA7B9" w14:textId="77777777" w:rsidR="00FE290F" w:rsidRPr="009608B9" w:rsidRDefault="00FE290F" w:rsidP="00FE290F">
      <w:pPr>
        <w:spacing w:after="0" w:line="240" w:lineRule="auto"/>
        <w:jc w:val="both"/>
        <w:rPr>
          <w:rFonts w:ascii="Times New Roman" w:hAnsi="Times New Roman" w:cs="Times New Roman"/>
          <w:color w:val="000000" w:themeColor="text1"/>
          <w:sz w:val="18"/>
        </w:rPr>
      </w:pPr>
      <w:r w:rsidRPr="009608B9">
        <w:rPr>
          <w:rFonts w:ascii="Times New Roman" w:hAnsi="Times New Roman" w:cs="Times New Roman"/>
          <w:color w:val="000000" w:themeColor="text1"/>
          <w:sz w:val="18"/>
        </w:rPr>
        <w:t xml:space="preserve">Note: The average stock returns volatility is obtained from average volatility of firms in each economic sector. The average stock returns volatility </w:t>
      </w:r>
      <w:proofErr w:type="gramStart"/>
      <w:r w:rsidRPr="009608B9">
        <w:rPr>
          <w:rFonts w:ascii="Times New Roman" w:hAnsi="Times New Roman" w:cs="Times New Roman"/>
          <w:color w:val="000000" w:themeColor="text1"/>
          <w:sz w:val="18"/>
        </w:rPr>
        <w:t>are</w:t>
      </w:r>
      <w:proofErr w:type="gramEnd"/>
      <w:r w:rsidRPr="009608B9">
        <w:rPr>
          <w:rFonts w:ascii="Times New Roman" w:hAnsi="Times New Roman" w:cs="Times New Roman"/>
          <w:color w:val="000000" w:themeColor="text1"/>
          <w:sz w:val="18"/>
        </w:rPr>
        <w:t xml:space="preserve"> significantly different between 10 economic sectors where P-values for the standard ANOVA and the Welch adjusted ANOVA are near zero. </w:t>
      </w:r>
    </w:p>
    <w:p w14:paraId="43A84829" w14:textId="77777777" w:rsidR="00225546" w:rsidRPr="003E298B" w:rsidRDefault="00225546" w:rsidP="00FE290F">
      <w:pPr>
        <w:spacing w:after="0" w:line="240" w:lineRule="auto"/>
        <w:outlineLvl w:val="0"/>
        <w:rPr>
          <w:rFonts w:ascii="Times New Roman" w:hAnsi="Times New Roman" w:cs="Times New Roman"/>
          <w:color w:val="000000" w:themeColor="text1"/>
        </w:rPr>
      </w:pPr>
    </w:p>
    <w:p w14:paraId="29E53293" w14:textId="77777777" w:rsidR="00FE26D1" w:rsidRPr="003E298B" w:rsidRDefault="00F76F7A" w:rsidP="00FE290F">
      <w:pPr>
        <w:spacing w:after="0" w:line="240" w:lineRule="auto"/>
        <w:ind w:firstLine="720"/>
        <w:jc w:val="both"/>
        <w:rPr>
          <w:rFonts w:ascii="Times New Roman" w:hAnsi="Times New Roman" w:cs="Times New Roman"/>
          <w:color w:val="000000" w:themeColor="text1"/>
        </w:rPr>
      </w:pPr>
      <w:r w:rsidRPr="003E298B">
        <w:rPr>
          <w:rFonts w:ascii="Times New Roman" w:hAnsi="Times New Roman" w:cs="Times New Roman"/>
          <w:color w:val="000000" w:themeColor="text1"/>
        </w:rPr>
        <w:t>As shown in Table 1, firms in T</w:t>
      </w:r>
      <w:r w:rsidR="00FE26D1" w:rsidRPr="003E298B">
        <w:rPr>
          <w:rFonts w:ascii="Times New Roman" w:hAnsi="Times New Roman" w:cs="Times New Roman"/>
          <w:color w:val="000000" w:themeColor="text1"/>
        </w:rPr>
        <w:t xml:space="preserve">echnology sector exhibits the highest stock </w:t>
      </w:r>
      <w:r w:rsidR="00211362" w:rsidRPr="003E298B">
        <w:rPr>
          <w:rFonts w:ascii="Times New Roman" w:hAnsi="Times New Roman" w:cs="Times New Roman"/>
          <w:color w:val="000000" w:themeColor="text1"/>
        </w:rPr>
        <w:t>returns volatility</w:t>
      </w:r>
      <w:r w:rsidR="001454E2" w:rsidRPr="003E298B">
        <w:rPr>
          <w:rFonts w:ascii="Times New Roman" w:hAnsi="Times New Roman" w:cs="Times New Roman"/>
          <w:color w:val="000000" w:themeColor="text1"/>
        </w:rPr>
        <w:t xml:space="preserve"> </w:t>
      </w:r>
      <w:r w:rsidR="00FE26D1" w:rsidRPr="003E298B">
        <w:rPr>
          <w:rFonts w:ascii="Times New Roman" w:hAnsi="Times New Roman" w:cs="Times New Roman"/>
          <w:color w:val="000000" w:themeColor="text1"/>
        </w:rPr>
        <w:t>compared to other economic sectors, followed by firms in Basic Material and Healthcare sectors. In contrast, firms in Consumer Non-Cyclical, Energy, Telecommunication and Utilities enjoy lower risk as shown by the smaller average stock returns volatility. Interestingly, the average volatility in the Financial sector is relatively low compared to other risky sectors, although the financial market is perceived to be the most volatile when taking into account multiple economic recessions linked to the instability of financial market, such as the 1997/98 Asian financial crisis and the U.S. subprime mortgage crisis in 2008.</w:t>
      </w:r>
    </w:p>
    <w:p w14:paraId="58D1F789" w14:textId="77777777" w:rsidR="00424960" w:rsidRDefault="00424960" w:rsidP="00FE290F">
      <w:pPr>
        <w:spacing w:after="0" w:line="240" w:lineRule="auto"/>
        <w:ind w:firstLine="720"/>
        <w:jc w:val="both"/>
        <w:rPr>
          <w:rFonts w:ascii="Tahoma" w:hAnsi="Tahoma" w:cs="Tahoma"/>
        </w:rPr>
      </w:pPr>
    </w:p>
    <w:p w14:paraId="0A121D36" w14:textId="7D01E86E" w:rsidR="00FE26D1" w:rsidRPr="00AB657A" w:rsidRDefault="00FE26D1" w:rsidP="00FE290F">
      <w:pPr>
        <w:spacing w:after="0" w:line="240" w:lineRule="auto"/>
        <w:jc w:val="both"/>
        <w:outlineLvl w:val="0"/>
        <w:rPr>
          <w:rFonts w:ascii="Times New Roman" w:hAnsi="Times New Roman" w:cs="Times New Roman"/>
          <w:b/>
          <w:color w:val="000000" w:themeColor="text1"/>
        </w:rPr>
      </w:pPr>
      <w:r w:rsidRPr="00AB657A">
        <w:rPr>
          <w:rFonts w:ascii="Times New Roman" w:hAnsi="Times New Roman" w:cs="Times New Roman"/>
          <w:b/>
          <w:color w:val="000000" w:themeColor="text1"/>
        </w:rPr>
        <w:t>5.0</w:t>
      </w:r>
      <w:r w:rsidR="003F26F4">
        <w:rPr>
          <w:rFonts w:ascii="Times New Roman" w:hAnsi="Times New Roman" w:cs="Times New Roman"/>
          <w:b/>
          <w:color w:val="000000" w:themeColor="text1"/>
        </w:rPr>
        <w:tab/>
      </w:r>
      <w:r w:rsidRPr="00AB657A">
        <w:rPr>
          <w:rFonts w:ascii="Times New Roman" w:hAnsi="Times New Roman" w:cs="Times New Roman"/>
          <w:b/>
          <w:color w:val="000000" w:themeColor="text1"/>
        </w:rPr>
        <w:t>Conclusion</w:t>
      </w:r>
    </w:p>
    <w:p w14:paraId="73F75D4E" w14:textId="77777777" w:rsidR="00C61EAB" w:rsidRPr="00AB657A" w:rsidRDefault="00C61EAB" w:rsidP="00FE290F">
      <w:pPr>
        <w:spacing w:after="0" w:line="240" w:lineRule="auto"/>
        <w:jc w:val="both"/>
        <w:outlineLvl w:val="0"/>
        <w:rPr>
          <w:rFonts w:ascii="Times New Roman" w:hAnsi="Times New Roman" w:cs="Times New Roman"/>
          <w:b/>
          <w:color w:val="000000" w:themeColor="text1"/>
        </w:rPr>
      </w:pPr>
    </w:p>
    <w:p w14:paraId="73C37E7B" w14:textId="77777777" w:rsidR="00FE26D1" w:rsidRPr="00AB657A" w:rsidRDefault="00B76B16" w:rsidP="00FE290F">
      <w:pPr>
        <w:spacing w:after="0" w:line="240" w:lineRule="auto"/>
        <w:jc w:val="both"/>
        <w:rPr>
          <w:rFonts w:ascii="Times New Roman" w:hAnsi="Times New Roman" w:cs="Times New Roman"/>
          <w:color w:val="000000" w:themeColor="text1"/>
        </w:rPr>
      </w:pPr>
      <w:r w:rsidRPr="00AB657A">
        <w:rPr>
          <w:rFonts w:ascii="Times New Roman" w:hAnsi="Times New Roman" w:cs="Times New Roman"/>
          <w:color w:val="000000" w:themeColor="text1"/>
        </w:rPr>
        <w:t>Based on this study, t</w:t>
      </w:r>
      <w:r w:rsidR="006E61A1" w:rsidRPr="00AB657A">
        <w:rPr>
          <w:rFonts w:ascii="Times New Roman" w:hAnsi="Times New Roman" w:cs="Times New Roman"/>
          <w:color w:val="000000" w:themeColor="text1"/>
        </w:rPr>
        <w:t>he</w:t>
      </w:r>
      <w:r w:rsidR="00FE26D1" w:rsidRPr="00AB657A">
        <w:rPr>
          <w:rFonts w:ascii="Times New Roman" w:hAnsi="Times New Roman" w:cs="Times New Roman"/>
          <w:color w:val="000000" w:themeColor="text1"/>
        </w:rPr>
        <w:t xml:space="preserve"> decision to invest </w:t>
      </w:r>
      <w:r w:rsidR="00AB0F58" w:rsidRPr="00AB657A">
        <w:rPr>
          <w:rFonts w:ascii="Times New Roman" w:hAnsi="Times New Roman" w:cs="Times New Roman"/>
          <w:color w:val="000000" w:themeColor="text1"/>
        </w:rPr>
        <w:t>in an</w:t>
      </w:r>
      <w:r w:rsidR="00FE26D1" w:rsidRPr="00AB657A">
        <w:rPr>
          <w:rFonts w:ascii="Times New Roman" w:hAnsi="Times New Roman" w:cs="Times New Roman"/>
          <w:color w:val="000000" w:themeColor="text1"/>
        </w:rPr>
        <w:t xml:space="preserve"> economic </w:t>
      </w:r>
      <w:r w:rsidR="00AB0F58" w:rsidRPr="00AB657A">
        <w:rPr>
          <w:rFonts w:ascii="Times New Roman" w:hAnsi="Times New Roman" w:cs="Times New Roman"/>
          <w:color w:val="000000" w:themeColor="text1"/>
        </w:rPr>
        <w:t>sector should</w:t>
      </w:r>
      <w:r w:rsidR="00FE26D1" w:rsidRPr="00AB657A">
        <w:rPr>
          <w:rFonts w:ascii="Times New Roman" w:hAnsi="Times New Roman" w:cs="Times New Roman"/>
          <w:color w:val="000000" w:themeColor="text1"/>
        </w:rPr>
        <w:t xml:space="preserve"> </w:t>
      </w:r>
      <w:r w:rsidR="00AB0F58" w:rsidRPr="00AB657A">
        <w:rPr>
          <w:rFonts w:ascii="Times New Roman" w:hAnsi="Times New Roman" w:cs="Times New Roman"/>
          <w:color w:val="000000" w:themeColor="text1"/>
        </w:rPr>
        <w:t>be considered</w:t>
      </w:r>
      <w:r w:rsidR="00FE26D1" w:rsidRPr="00AB657A">
        <w:rPr>
          <w:rFonts w:ascii="Times New Roman" w:hAnsi="Times New Roman" w:cs="Times New Roman"/>
          <w:color w:val="000000" w:themeColor="text1"/>
        </w:rPr>
        <w:t xml:space="preserve"> carefully</w:t>
      </w:r>
      <w:r w:rsidR="006E61A1" w:rsidRPr="00AB657A">
        <w:rPr>
          <w:rFonts w:ascii="Times New Roman" w:hAnsi="Times New Roman" w:cs="Times New Roman"/>
          <w:color w:val="000000" w:themeColor="text1"/>
        </w:rPr>
        <w:t xml:space="preserve">. </w:t>
      </w:r>
      <w:r w:rsidR="00FE26D1" w:rsidRPr="00AB657A">
        <w:rPr>
          <w:rFonts w:ascii="Times New Roman" w:hAnsi="Times New Roman" w:cs="Times New Roman"/>
          <w:color w:val="000000" w:themeColor="text1"/>
        </w:rPr>
        <w:t xml:space="preserve">Dynamic stock returns volatility analysis shows a significant dissimilarity of stock returns volatility </w:t>
      </w:r>
      <w:r w:rsidR="00EF7808" w:rsidRPr="00AB657A">
        <w:rPr>
          <w:rFonts w:ascii="Times New Roman" w:hAnsi="Times New Roman" w:cs="Times New Roman"/>
          <w:color w:val="000000" w:themeColor="text1"/>
        </w:rPr>
        <w:t xml:space="preserve">level </w:t>
      </w:r>
      <w:r w:rsidR="00FE26D1" w:rsidRPr="00AB657A">
        <w:rPr>
          <w:rFonts w:ascii="Times New Roman" w:hAnsi="Times New Roman" w:cs="Times New Roman"/>
          <w:color w:val="000000" w:themeColor="text1"/>
        </w:rPr>
        <w:t xml:space="preserve">across economic sectors where firms in Technology, Basic Material and Healthcare sectors on average suffer </w:t>
      </w:r>
      <w:r w:rsidR="00FE26D1" w:rsidRPr="00AB657A">
        <w:rPr>
          <w:rFonts w:ascii="Times New Roman" w:hAnsi="Times New Roman" w:cs="Times New Roman"/>
          <w:color w:val="000000" w:themeColor="text1"/>
        </w:rPr>
        <w:lastRenderedPageBreak/>
        <w:t xml:space="preserve">from higher </w:t>
      </w:r>
      <w:r w:rsidR="00AB0F58" w:rsidRPr="00AB657A">
        <w:rPr>
          <w:rFonts w:ascii="Times New Roman" w:hAnsi="Times New Roman" w:cs="Times New Roman"/>
          <w:color w:val="000000" w:themeColor="text1"/>
        </w:rPr>
        <w:t>volatility compared</w:t>
      </w:r>
      <w:r w:rsidR="00FE26D1" w:rsidRPr="00AB657A">
        <w:rPr>
          <w:rFonts w:ascii="Times New Roman" w:hAnsi="Times New Roman" w:cs="Times New Roman"/>
          <w:color w:val="000000" w:themeColor="text1"/>
        </w:rPr>
        <w:t xml:space="preserve"> to other sectors. Stock returns volatility is also persistent in all economic sectors where current volatility is highly impacted by previous stock returns volatility.  </w:t>
      </w:r>
    </w:p>
    <w:p w14:paraId="592A08F4" w14:textId="77777777" w:rsidR="00FE290F" w:rsidRPr="00AB657A" w:rsidRDefault="00FE290F" w:rsidP="00B262B6">
      <w:pPr>
        <w:spacing w:after="0" w:line="240" w:lineRule="auto"/>
        <w:jc w:val="both"/>
        <w:rPr>
          <w:rFonts w:ascii="Times New Roman" w:hAnsi="Times New Roman" w:cs="Times New Roman"/>
          <w:color w:val="000000" w:themeColor="text1"/>
        </w:rPr>
      </w:pPr>
    </w:p>
    <w:p w14:paraId="3CA66271" w14:textId="77777777" w:rsidR="00FE26D1" w:rsidRPr="00AB657A" w:rsidRDefault="00FE26D1" w:rsidP="00FE290F">
      <w:pPr>
        <w:spacing w:after="0" w:line="240" w:lineRule="auto"/>
        <w:ind w:left="720" w:hanging="720"/>
        <w:rPr>
          <w:rFonts w:ascii="Times New Roman" w:hAnsi="Times New Roman" w:cs="Times New Roman"/>
          <w:b/>
          <w:color w:val="000000" w:themeColor="text1"/>
          <w:szCs w:val="24"/>
        </w:rPr>
      </w:pPr>
      <w:r w:rsidRPr="00AB657A">
        <w:rPr>
          <w:rFonts w:ascii="Times New Roman" w:hAnsi="Times New Roman" w:cs="Times New Roman"/>
          <w:b/>
          <w:color w:val="000000" w:themeColor="text1"/>
          <w:szCs w:val="24"/>
        </w:rPr>
        <w:t>Reference</w:t>
      </w:r>
    </w:p>
    <w:p w14:paraId="561B4ECF" w14:textId="77777777" w:rsidR="004E2D8E" w:rsidRPr="00AB657A" w:rsidRDefault="004E2D8E" w:rsidP="00FE290F">
      <w:pPr>
        <w:spacing w:after="0" w:line="240" w:lineRule="auto"/>
        <w:ind w:left="720" w:hanging="720"/>
        <w:jc w:val="both"/>
        <w:rPr>
          <w:rFonts w:ascii="Times New Roman" w:hAnsi="Times New Roman" w:cs="Times New Roman"/>
          <w:b/>
          <w:color w:val="000000" w:themeColor="text1"/>
          <w:szCs w:val="24"/>
        </w:rPr>
      </w:pPr>
    </w:p>
    <w:p w14:paraId="70AB3928" w14:textId="77777777" w:rsidR="00FE26D1" w:rsidRPr="00FE290F" w:rsidRDefault="00FE26D1" w:rsidP="00FE290F">
      <w:pPr>
        <w:spacing w:after="0" w:line="240" w:lineRule="auto"/>
        <w:ind w:left="720" w:hanging="720"/>
        <w:jc w:val="both"/>
        <w:rPr>
          <w:rFonts w:ascii="Times New Roman" w:eastAsia="Calibri" w:hAnsi="Times New Roman" w:cs="Times New Roman"/>
          <w:color w:val="000000" w:themeColor="text1"/>
          <w:szCs w:val="24"/>
        </w:rPr>
      </w:pPr>
      <w:r w:rsidRPr="00FE290F">
        <w:rPr>
          <w:rFonts w:ascii="Times New Roman" w:eastAsia="Calibri" w:hAnsi="Times New Roman" w:cs="Times New Roman"/>
          <w:color w:val="000000" w:themeColor="text1"/>
          <w:szCs w:val="24"/>
        </w:rPr>
        <w:t xml:space="preserve">Engle, R.F. </w:t>
      </w:r>
      <w:r w:rsidR="009C2E23" w:rsidRPr="00FE290F">
        <w:rPr>
          <w:rFonts w:ascii="Times New Roman" w:eastAsia="Calibri" w:hAnsi="Times New Roman" w:cs="Times New Roman"/>
          <w:color w:val="000000" w:themeColor="text1"/>
          <w:szCs w:val="24"/>
        </w:rPr>
        <w:t>(</w:t>
      </w:r>
      <w:r w:rsidRPr="00FE290F">
        <w:rPr>
          <w:rFonts w:ascii="Times New Roman" w:eastAsia="Calibri" w:hAnsi="Times New Roman" w:cs="Times New Roman"/>
          <w:color w:val="000000" w:themeColor="text1"/>
          <w:szCs w:val="24"/>
        </w:rPr>
        <w:t>1982</w:t>
      </w:r>
      <w:r w:rsidR="009C2E23" w:rsidRPr="00FE290F">
        <w:rPr>
          <w:rFonts w:ascii="Times New Roman" w:eastAsia="Calibri" w:hAnsi="Times New Roman" w:cs="Times New Roman"/>
          <w:color w:val="000000" w:themeColor="text1"/>
          <w:szCs w:val="24"/>
        </w:rPr>
        <w:t>)</w:t>
      </w:r>
      <w:r w:rsidRPr="00FE290F">
        <w:rPr>
          <w:rFonts w:ascii="Times New Roman" w:eastAsia="Calibri" w:hAnsi="Times New Roman" w:cs="Times New Roman"/>
          <w:color w:val="000000" w:themeColor="text1"/>
          <w:szCs w:val="24"/>
        </w:rPr>
        <w:t>. Autoregressive Conditional Heteroscedasticity with Estimates of the Variance of United Kingdom Inflation.</w:t>
      </w:r>
      <w:r w:rsidR="00701B8E" w:rsidRPr="00FE290F">
        <w:rPr>
          <w:rFonts w:ascii="Times New Roman" w:eastAsia="Calibri" w:hAnsi="Times New Roman" w:cs="Times New Roman"/>
          <w:i/>
          <w:color w:val="000000" w:themeColor="text1"/>
          <w:szCs w:val="24"/>
        </w:rPr>
        <w:t xml:space="preserve"> </w:t>
      </w:r>
      <w:r w:rsidR="00B360D5" w:rsidRPr="00FE290F">
        <w:rPr>
          <w:rFonts w:ascii="Times New Roman" w:eastAsia="Calibri" w:hAnsi="Times New Roman" w:cs="Times New Roman"/>
          <w:i/>
          <w:color w:val="000000" w:themeColor="text1"/>
          <w:szCs w:val="24"/>
        </w:rPr>
        <w:t>Econometrica,</w:t>
      </w:r>
      <w:r w:rsidR="00B360D5" w:rsidRPr="00FE290F">
        <w:rPr>
          <w:rFonts w:ascii="Times New Roman" w:eastAsia="Calibri" w:hAnsi="Times New Roman" w:cs="Times New Roman"/>
          <w:color w:val="000000" w:themeColor="text1"/>
          <w:szCs w:val="24"/>
        </w:rPr>
        <w:t>50,</w:t>
      </w:r>
      <w:r w:rsidRPr="00FE290F">
        <w:rPr>
          <w:rFonts w:ascii="Times New Roman" w:eastAsia="Calibri" w:hAnsi="Times New Roman" w:cs="Times New Roman"/>
          <w:color w:val="000000" w:themeColor="text1"/>
          <w:szCs w:val="24"/>
        </w:rPr>
        <w:t>987–1007.</w:t>
      </w:r>
    </w:p>
    <w:p w14:paraId="73BCAB30" w14:textId="77777777" w:rsidR="00AA2C2A" w:rsidRPr="00FE290F" w:rsidRDefault="009C2E23" w:rsidP="00FE290F">
      <w:pPr>
        <w:spacing w:after="0" w:line="240" w:lineRule="auto"/>
        <w:ind w:left="720" w:hanging="720"/>
        <w:jc w:val="both"/>
        <w:rPr>
          <w:rFonts w:ascii="Times New Roman" w:eastAsia="Calibri" w:hAnsi="Times New Roman" w:cs="Times New Roman"/>
          <w:color w:val="000000" w:themeColor="text1"/>
          <w:szCs w:val="24"/>
        </w:rPr>
      </w:pPr>
      <w:proofErr w:type="spellStart"/>
      <w:r w:rsidRPr="00FE290F">
        <w:rPr>
          <w:rFonts w:ascii="Times New Roman" w:eastAsia="Calibri" w:hAnsi="Times New Roman" w:cs="Times New Roman"/>
          <w:color w:val="000000" w:themeColor="text1"/>
          <w:szCs w:val="24"/>
        </w:rPr>
        <w:t>Jie</w:t>
      </w:r>
      <w:proofErr w:type="spellEnd"/>
      <w:r w:rsidRPr="00FE290F">
        <w:rPr>
          <w:rFonts w:ascii="Times New Roman" w:eastAsia="Calibri" w:hAnsi="Times New Roman" w:cs="Times New Roman"/>
          <w:color w:val="000000" w:themeColor="text1"/>
          <w:szCs w:val="24"/>
        </w:rPr>
        <w:t>, N. H. (</w:t>
      </w:r>
      <w:r w:rsidR="00AA2C2A" w:rsidRPr="00FE290F">
        <w:rPr>
          <w:rFonts w:ascii="Times New Roman" w:eastAsia="Calibri" w:hAnsi="Times New Roman" w:cs="Times New Roman"/>
          <w:color w:val="000000" w:themeColor="text1"/>
          <w:szCs w:val="24"/>
        </w:rPr>
        <w:t>2007</w:t>
      </w:r>
      <w:r w:rsidRPr="00FE290F">
        <w:rPr>
          <w:rFonts w:ascii="Times New Roman" w:eastAsia="Calibri" w:hAnsi="Times New Roman" w:cs="Times New Roman"/>
          <w:color w:val="000000" w:themeColor="text1"/>
          <w:szCs w:val="24"/>
        </w:rPr>
        <w:t>)</w:t>
      </w:r>
      <w:r w:rsidR="00AA2C2A" w:rsidRPr="00FE290F">
        <w:rPr>
          <w:rFonts w:ascii="Times New Roman" w:eastAsia="Calibri" w:hAnsi="Times New Roman" w:cs="Times New Roman"/>
          <w:color w:val="000000" w:themeColor="text1"/>
          <w:szCs w:val="24"/>
        </w:rPr>
        <w:t xml:space="preserve">. </w:t>
      </w:r>
      <w:r w:rsidR="00AA2C2A" w:rsidRPr="00FE290F">
        <w:rPr>
          <w:rFonts w:ascii="Times New Roman" w:eastAsia="Calibri" w:hAnsi="Times New Roman" w:cs="Times New Roman"/>
          <w:i/>
          <w:color w:val="000000" w:themeColor="text1"/>
          <w:szCs w:val="24"/>
        </w:rPr>
        <w:t>Stock Returns and Volatility: A</w:t>
      </w:r>
      <w:r w:rsidR="00A91802" w:rsidRPr="00FE290F">
        <w:rPr>
          <w:rFonts w:ascii="Times New Roman" w:eastAsia="Calibri" w:hAnsi="Times New Roman" w:cs="Times New Roman"/>
          <w:i/>
          <w:color w:val="000000" w:themeColor="text1"/>
          <w:szCs w:val="24"/>
        </w:rPr>
        <w:t xml:space="preserve">n empirical study of Malaysian stock market. </w:t>
      </w:r>
      <w:r w:rsidR="00AA2C2A" w:rsidRPr="00FE290F">
        <w:rPr>
          <w:rFonts w:ascii="Times New Roman" w:eastAsia="Calibri" w:hAnsi="Times New Roman" w:cs="Times New Roman"/>
          <w:color w:val="000000" w:themeColor="text1"/>
          <w:szCs w:val="24"/>
        </w:rPr>
        <w:t xml:space="preserve">Dissertation Submitted in Partial Fulfillment of the Requirement for the Degree of Master of Business Administration. School of Business and Economics, </w:t>
      </w:r>
      <w:proofErr w:type="spellStart"/>
      <w:r w:rsidR="00AA2C2A" w:rsidRPr="00FE290F">
        <w:rPr>
          <w:rFonts w:ascii="Times New Roman" w:eastAsia="Calibri" w:hAnsi="Times New Roman" w:cs="Times New Roman"/>
          <w:color w:val="000000" w:themeColor="text1"/>
          <w:szCs w:val="24"/>
        </w:rPr>
        <w:t>Universiti</w:t>
      </w:r>
      <w:proofErr w:type="spellEnd"/>
      <w:r w:rsidR="00AA2C2A" w:rsidRPr="00FE290F">
        <w:rPr>
          <w:rFonts w:ascii="Times New Roman" w:eastAsia="Calibri" w:hAnsi="Times New Roman" w:cs="Times New Roman"/>
          <w:color w:val="000000" w:themeColor="text1"/>
          <w:szCs w:val="24"/>
        </w:rPr>
        <w:t xml:space="preserve"> Malaysia Sabah</w:t>
      </w:r>
      <w:r w:rsidR="006154D3" w:rsidRPr="00FE290F">
        <w:rPr>
          <w:rFonts w:ascii="Times New Roman" w:eastAsia="Calibri" w:hAnsi="Times New Roman" w:cs="Times New Roman"/>
          <w:color w:val="000000" w:themeColor="text1"/>
          <w:szCs w:val="24"/>
        </w:rPr>
        <w:t>, Malaysia</w:t>
      </w:r>
      <w:r w:rsidR="00AA2C2A" w:rsidRPr="00FE290F">
        <w:rPr>
          <w:rFonts w:ascii="Times New Roman" w:eastAsia="Calibri" w:hAnsi="Times New Roman" w:cs="Times New Roman"/>
          <w:color w:val="000000" w:themeColor="text1"/>
          <w:szCs w:val="24"/>
        </w:rPr>
        <w:t xml:space="preserve">. </w:t>
      </w:r>
    </w:p>
    <w:p w14:paraId="280053CA" w14:textId="77777777" w:rsidR="00FE26D1" w:rsidRPr="00FE290F" w:rsidRDefault="00BA1305" w:rsidP="00FE290F">
      <w:pPr>
        <w:spacing w:after="0" w:line="240" w:lineRule="auto"/>
        <w:ind w:left="720" w:hanging="720"/>
        <w:jc w:val="both"/>
        <w:rPr>
          <w:rFonts w:ascii="Times New Roman" w:eastAsia="Calibri" w:hAnsi="Times New Roman" w:cs="Times New Roman"/>
          <w:color w:val="000000" w:themeColor="text1"/>
          <w:szCs w:val="24"/>
        </w:rPr>
      </w:pPr>
      <w:r w:rsidRPr="00FE290F">
        <w:rPr>
          <w:rFonts w:ascii="Times New Roman" w:eastAsia="Calibri" w:hAnsi="Times New Roman" w:cs="Times New Roman"/>
          <w:color w:val="000000" w:themeColor="text1"/>
          <w:szCs w:val="24"/>
        </w:rPr>
        <w:t>Nelson, D. B. (</w:t>
      </w:r>
      <w:r w:rsidR="00FE26D1" w:rsidRPr="00FE290F">
        <w:rPr>
          <w:rFonts w:ascii="Times New Roman" w:eastAsia="Calibri" w:hAnsi="Times New Roman" w:cs="Times New Roman"/>
          <w:color w:val="000000" w:themeColor="text1"/>
          <w:szCs w:val="24"/>
        </w:rPr>
        <w:t>1991</w:t>
      </w:r>
      <w:r w:rsidRPr="00FE290F">
        <w:rPr>
          <w:rFonts w:ascii="Times New Roman" w:eastAsia="Calibri" w:hAnsi="Times New Roman" w:cs="Times New Roman"/>
          <w:color w:val="000000" w:themeColor="text1"/>
          <w:szCs w:val="24"/>
        </w:rPr>
        <w:t>)</w:t>
      </w:r>
      <w:r w:rsidR="00FE26D1" w:rsidRPr="00FE290F">
        <w:rPr>
          <w:rFonts w:ascii="Times New Roman" w:eastAsia="Calibri" w:hAnsi="Times New Roman" w:cs="Times New Roman"/>
          <w:color w:val="000000" w:themeColor="text1"/>
          <w:szCs w:val="24"/>
        </w:rPr>
        <w:t>. Conditional heteroskedasticity in asset returns: A</w:t>
      </w:r>
      <w:r w:rsidR="00192653" w:rsidRPr="00FE290F">
        <w:rPr>
          <w:rFonts w:ascii="Times New Roman" w:eastAsia="Calibri" w:hAnsi="Times New Roman" w:cs="Times New Roman"/>
          <w:color w:val="000000" w:themeColor="text1"/>
          <w:szCs w:val="24"/>
        </w:rPr>
        <w:t xml:space="preserve"> new approach. </w:t>
      </w:r>
      <w:proofErr w:type="spellStart"/>
      <w:r w:rsidR="00192653" w:rsidRPr="00FE290F">
        <w:rPr>
          <w:rFonts w:ascii="Times New Roman" w:eastAsia="Calibri" w:hAnsi="Times New Roman" w:cs="Times New Roman"/>
          <w:i/>
          <w:color w:val="000000" w:themeColor="text1"/>
          <w:szCs w:val="24"/>
        </w:rPr>
        <w:t>Econometrica</w:t>
      </w:r>
      <w:proofErr w:type="spellEnd"/>
      <w:r w:rsidR="003D43DD" w:rsidRPr="00FE290F">
        <w:rPr>
          <w:rFonts w:ascii="Times New Roman" w:eastAsia="Calibri" w:hAnsi="Times New Roman" w:cs="Times New Roman"/>
          <w:i/>
          <w:color w:val="000000" w:themeColor="text1"/>
          <w:szCs w:val="24"/>
        </w:rPr>
        <w:t>,</w:t>
      </w:r>
      <w:r w:rsidR="00192653" w:rsidRPr="00FE290F">
        <w:rPr>
          <w:rFonts w:ascii="Times New Roman" w:eastAsia="Calibri" w:hAnsi="Times New Roman" w:cs="Times New Roman"/>
          <w:i/>
          <w:color w:val="000000" w:themeColor="text1"/>
          <w:szCs w:val="24"/>
        </w:rPr>
        <w:t xml:space="preserve"> </w:t>
      </w:r>
      <w:r w:rsidR="003D43DD" w:rsidRPr="00FE290F">
        <w:rPr>
          <w:rFonts w:ascii="Times New Roman" w:eastAsia="Calibri" w:hAnsi="Times New Roman" w:cs="Times New Roman"/>
          <w:i/>
          <w:color w:val="000000" w:themeColor="text1"/>
          <w:szCs w:val="24"/>
        </w:rPr>
        <w:t>59</w:t>
      </w:r>
      <w:r w:rsidR="003D43DD" w:rsidRPr="00FE290F">
        <w:rPr>
          <w:rFonts w:ascii="Times New Roman" w:eastAsia="Calibri" w:hAnsi="Times New Roman" w:cs="Times New Roman"/>
          <w:color w:val="000000" w:themeColor="text1"/>
          <w:szCs w:val="24"/>
        </w:rPr>
        <w:t xml:space="preserve">, </w:t>
      </w:r>
      <w:r w:rsidR="00FE26D1" w:rsidRPr="00FE290F">
        <w:rPr>
          <w:rFonts w:ascii="Times New Roman" w:eastAsia="Calibri" w:hAnsi="Times New Roman" w:cs="Times New Roman"/>
          <w:color w:val="000000" w:themeColor="text1"/>
          <w:szCs w:val="24"/>
        </w:rPr>
        <w:t>347–370.</w:t>
      </w:r>
    </w:p>
    <w:p w14:paraId="2F9B2FE5" w14:textId="77777777" w:rsidR="00FE26D1" w:rsidRPr="00AB657A" w:rsidRDefault="004F42A1" w:rsidP="00FE290F">
      <w:pPr>
        <w:spacing w:after="0" w:line="240" w:lineRule="auto"/>
        <w:ind w:left="720" w:hanging="720"/>
        <w:jc w:val="both"/>
        <w:rPr>
          <w:rFonts w:ascii="Times New Roman" w:hAnsi="Times New Roman" w:cs="Times New Roman"/>
          <w:color w:val="000000" w:themeColor="text1"/>
        </w:rPr>
      </w:pPr>
      <w:proofErr w:type="spellStart"/>
      <w:r w:rsidRPr="00FE290F">
        <w:rPr>
          <w:rFonts w:ascii="Times New Roman" w:hAnsi="Times New Roman" w:cs="Times New Roman"/>
          <w:color w:val="000000" w:themeColor="text1"/>
        </w:rPr>
        <w:t>Rohani</w:t>
      </w:r>
      <w:proofErr w:type="spellEnd"/>
      <w:r w:rsidRPr="00FE290F">
        <w:rPr>
          <w:rFonts w:ascii="Times New Roman" w:hAnsi="Times New Roman" w:cs="Times New Roman"/>
          <w:color w:val="000000" w:themeColor="text1"/>
        </w:rPr>
        <w:t xml:space="preserve"> A.G. </w:t>
      </w:r>
      <w:r w:rsidR="00BA1305" w:rsidRPr="00FE290F">
        <w:rPr>
          <w:rFonts w:ascii="Times New Roman" w:hAnsi="Times New Roman" w:cs="Times New Roman"/>
          <w:color w:val="000000" w:themeColor="text1"/>
        </w:rPr>
        <w:t>(</w:t>
      </w:r>
      <w:r w:rsidRPr="00FE290F">
        <w:rPr>
          <w:rFonts w:ascii="Times New Roman" w:hAnsi="Times New Roman" w:cs="Times New Roman"/>
          <w:color w:val="000000" w:themeColor="text1"/>
        </w:rPr>
        <w:t>2014</w:t>
      </w:r>
      <w:r w:rsidR="00BA1305" w:rsidRPr="00FE290F">
        <w:rPr>
          <w:rFonts w:ascii="Times New Roman" w:hAnsi="Times New Roman" w:cs="Times New Roman"/>
          <w:color w:val="000000" w:themeColor="text1"/>
        </w:rPr>
        <w:t>)</w:t>
      </w:r>
      <w:r w:rsidRPr="00FE290F">
        <w:rPr>
          <w:rFonts w:ascii="Times New Roman" w:hAnsi="Times New Roman" w:cs="Times New Roman"/>
          <w:color w:val="000000" w:themeColor="text1"/>
        </w:rPr>
        <w:t xml:space="preserve">. </w:t>
      </w:r>
      <w:r w:rsidR="00FE26D1" w:rsidRPr="00FE290F">
        <w:rPr>
          <w:rFonts w:ascii="Times New Roman" w:hAnsi="Times New Roman" w:cs="Times New Roman"/>
          <w:i/>
          <w:color w:val="000000" w:themeColor="text1"/>
        </w:rPr>
        <w:t>The Development of Malaysian Financial Institutions</w:t>
      </w:r>
      <w:r w:rsidR="00FE26D1" w:rsidRPr="00FE290F">
        <w:rPr>
          <w:rFonts w:ascii="Times New Roman" w:hAnsi="Times New Roman" w:cs="Times New Roman"/>
          <w:color w:val="000000" w:themeColor="text1"/>
        </w:rPr>
        <w:t xml:space="preserve">. Shah </w:t>
      </w:r>
      <w:proofErr w:type="spellStart"/>
      <w:r w:rsidR="00FE26D1" w:rsidRPr="00FE290F">
        <w:rPr>
          <w:rFonts w:ascii="Times New Roman" w:hAnsi="Times New Roman" w:cs="Times New Roman"/>
          <w:color w:val="000000" w:themeColor="text1"/>
        </w:rPr>
        <w:t>Alam</w:t>
      </w:r>
      <w:proofErr w:type="spellEnd"/>
      <w:r w:rsidR="00FE26D1" w:rsidRPr="00FE290F">
        <w:rPr>
          <w:rFonts w:ascii="Times New Roman" w:hAnsi="Times New Roman" w:cs="Times New Roman"/>
          <w:color w:val="000000" w:themeColor="text1"/>
        </w:rPr>
        <w:t>, Selangor: University Publication Center.</w:t>
      </w:r>
    </w:p>
    <w:p w14:paraId="6F8930EA" w14:textId="77777777" w:rsidR="00FE26D1" w:rsidRPr="00AB657A" w:rsidRDefault="00FE26D1" w:rsidP="00FE290F">
      <w:pPr>
        <w:spacing w:after="0" w:line="240" w:lineRule="auto"/>
        <w:rPr>
          <w:rFonts w:ascii="Times New Roman" w:hAnsi="Times New Roman" w:cs="Times New Roman"/>
        </w:rPr>
      </w:pPr>
    </w:p>
    <w:p w14:paraId="7D268135" w14:textId="77777777" w:rsidR="00FE26D1" w:rsidRPr="00AB657A" w:rsidRDefault="00FE26D1" w:rsidP="00FE290F">
      <w:pPr>
        <w:spacing w:after="0" w:line="240" w:lineRule="auto"/>
        <w:rPr>
          <w:rFonts w:ascii="Times New Roman" w:hAnsi="Times New Roman" w:cs="Times New Roman"/>
        </w:rPr>
      </w:pPr>
    </w:p>
    <w:sectPr w:rsidR="00FE26D1" w:rsidRPr="00AB657A" w:rsidSect="00962B6C">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E77C" w14:textId="77777777" w:rsidR="00370730" w:rsidRDefault="00370730" w:rsidP="00FE26D1">
      <w:pPr>
        <w:spacing w:after="0" w:line="240" w:lineRule="auto"/>
      </w:pPr>
      <w:r>
        <w:separator/>
      </w:r>
    </w:p>
  </w:endnote>
  <w:endnote w:type="continuationSeparator" w:id="0">
    <w:p w14:paraId="70ADC26A" w14:textId="77777777" w:rsidR="00370730" w:rsidRDefault="00370730" w:rsidP="00FE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CEFB" w14:textId="77777777" w:rsidR="00370730" w:rsidRDefault="00370730" w:rsidP="00FE26D1">
      <w:pPr>
        <w:spacing w:after="0" w:line="240" w:lineRule="auto"/>
      </w:pPr>
      <w:r>
        <w:separator/>
      </w:r>
    </w:p>
  </w:footnote>
  <w:footnote w:type="continuationSeparator" w:id="0">
    <w:p w14:paraId="544BB843" w14:textId="77777777" w:rsidR="00370730" w:rsidRDefault="00370730" w:rsidP="00FE26D1">
      <w:pPr>
        <w:spacing w:after="0" w:line="240" w:lineRule="auto"/>
      </w:pPr>
      <w:r>
        <w:continuationSeparator/>
      </w:r>
    </w:p>
  </w:footnote>
  <w:footnote w:id="1">
    <w:p w14:paraId="6937625E" w14:textId="77777777" w:rsidR="00FE290F" w:rsidRPr="00BB67FD" w:rsidRDefault="00FE290F" w:rsidP="00FE290F">
      <w:pPr>
        <w:pStyle w:val="FootnoteText"/>
        <w:jc w:val="both"/>
        <w:rPr>
          <w:rFonts w:ascii="Times New Roman" w:hAnsi="Times New Roman" w:cs="Times New Roman"/>
          <w:sz w:val="18"/>
        </w:rPr>
      </w:pPr>
      <w:r w:rsidRPr="00BB67FD">
        <w:rPr>
          <w:rStyle w:val="FootnoteReference"/>
          <w:rFonts w:ascii="Times New Roman" w:hAnsi="Times New Roman" w:cs="Times New Roman"/>
        </w:rPr>
        <w:t>*</w:t>
      </w:r>
      <w:r w:rsidRPr="00BB67FD">
        <w:rPr>
          <w:rFonts w:ascii="Times New Roman" w:hAnsi="Times New Roman" w:cs="Times New Roman"/>
          <w:sz w:val="18"/>
        </w:rPr>
        <w:t>Corresponding author.</w:t>
      </w:r>
    </w:p>
    <w:p w14:paraId="0CC58C50" w14:textId="77777777" w:rsidR="00FE290F" w:rsidRDefault="00FE290F" w:rsidP="00FE290F">
      <w:pPr>
        <w:pStyle w:val="FootnoteText"/>
        <w:jc w:val="both"/>
      </w:pPr>
      <w:r w:rsidRPr="00BB67FD">
        <w:rPr>
          <w:rFonts w:ascii="Times New Roman" w:hAnsi="Times New Roman" w:cs="Times New Roman"/>
          <w:sz w:val="18"/>
        </w:rPr>
        <w:t xml:space="preserve">  E-mail address: </w:t>
      </w:r>
      <w:hyperlink r:id="rId1" w:history="1">
        <w:r w:rsidRPr="009735D8">
          <w:rPr>
            <w:rStyle w:val="Hyperlink"/>
            <w:rFonts w:ascii="Times New Roman" w:hAnsi="Times New Roman" w:cs="Times New Roman"/>
            <w:sz w:val="18"/>
          </w:rPr>
          <w:t>author1</w:t>
        </w:r>
        <w:r w:rsidRPr="009735D8">
          <w:rPr>
            <w:rStyle w:val="Hyperlink"/>
            <w:rFonts w:ascii="Times New Roman" w:hAnsi="Times New Roman" w:cs="Times New Roman"/>
            <w:sz w:val="18"/>
          </w:rPr>
          <w:t>@gmail.com</w:t>
        </w:r>
      </w:hyperlink>
    </w:p>
  </w:footnote>
  <w:footnote w:id="2">
    <w:p w14:paraId="11A49C93" w14:textId="7991E07C" w:rsidR="00EC3C01" w:rsidRPr="00456B03" w:rsidRDefault="00EC3C01" w:rsidP="00733281">
      <w:pPr>
        <w:pStyle w:val="FootnoteText"/>
        <w:jc w:val="both"/>
        <w:rPr>
          <w:rFonts w:ascii="Tahoma" w:hAnsi="Tahoma" w:cs="Tahoma"/>
        </w:rPr>
      </w:pPr>
      <w:r w:rsidRPr="003253ED">
        <w:rPr>
          <w:rStyle w:val="FootnoteReference"/>
          <w:rFonts w:ascii="Times New Roman" w:hAnsi="Times New Roman" w:cs="Times New Roman"/>
          <w:sz w:val="18"/>
        </w:rPr>
        <w:footnoteRef/>
      </w:r>
      <w:r w:rsidRPr="003253ED">
        <w:rPr>
          <w:rFonts w:ascii="Times New Roman" w:hAnsi="Times New Roman" w:cs="Times New Roman"/>
          <w:sz w:val="18"/>
        </w:rPr>
        <w:t xml:space="preserve"> The current analysis uses ARCH, specifically the EGARCH model, to estimate stock returns by taking advantage of its ability to capture stylized features of the </w:t>
      </w:r>
      <w:r w:rsidR="005A57E6" w:rsidRPr="003253ED">
        <w:rPr>
          <w:rFonts w:ascii="Times New Roman" w:hAnsi="Times New Roman" w:cs="Times New Roman"/>
          <w:sz w:val="18"/>
        </w:rPr>
        <w:t>real-world</w:t>
      </w:r>
      <w:r w:rsidRPr="003253ED">
        <w:rPr>
          <w:rFonts w:ascii="Times New Roman" w:hAnsi="Times New Roman" w:cs="Times New Roman"/>
          <w:sz w:val="18"/>
        </w:rPr>
        <w:t xml:space="preserve"> </w:t>
      </w:r>
      <w:bookmarkStart w:id="1" w:name="_GoBack"/>
      <w:bookmarkEnd w:id="1"/>
      <w:r w:rsidRPr="003253ED">
        <w:rPr>
          <w:rFonts w:ascii="Times New Roman" w:hAnsi="Times New Roman" w:cs="Times New Roman"/>
          <w:sz w:val="18"/>
        </w:rPr>
        <w:t>volatility compared to static standard deviation methods of volatility estimation.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591829"/>
      <w:docPartObj>
        <w:docPartGallery w:val="Page Numbers (Top of Page)"/>
        <w:docPartUnique/>
      </w:docPartObj>
    </w:sdtPr>
    <w:sdtEndPr>
      <w:rPr>
        <w:noProof/>
      </w:rPr>
    </w:sdtEndPr>
    <w:sdtContent>
      <w:p w14:paraId="468DC986" w14:textId="64C0F45D" w:rsidR="00962B6C" w:rsidRDefault="00962B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35AF64" w14:textId="77777777" w:rsidR="00962B6C" w:rsidRDefault="00962B6C" w:rsidP="00962B6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95017"/>
      <w:docPartObj>
        <w:docPartGallery w:val="Page Numbers (Top of Page)"/>
        <w:docPartUnique/>
      </w:docPartObj>
    </w:sdtPr>
    <w:sdtEndPr>
      <w:rPr>
        <w:noProof/>
      </w:rPr>
    </w:sdtEndPr>
    <w:sdtContent>
      <w:p w14:paraId="0FA09966" w14:textId="1A7E6C09" w:rsidR="00AC76D1" w:rsidRDefault="00AC76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1344E5" w14:textId="77777777" w:rsidR="00AC76D1" w:rsidRDefault="00AC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9AA"/>
    <w:multiLevelType w:val="hybridMultilevel"/>
    <w:tmpl w:val="0014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41F38"/>
    <w:multiLevelType w:val="hybridMultilevel"/>
    <w:tmpl w:val="E1066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EF1FD9"/>
    <w:multiLevelType w:val="hybridMultilevel"/>
    <w:tmpl w:val="D79E43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B2B25"/>
    <w:multiLevelType w:val="hybridMultilevel"/>
    <w:tmpl w:val="F2EE3ACC"/>
    <w:lvl w:ilvl="0" w:tplc="DE6448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578C7"/>
    <w:multiLevelType w:val="hybridMultilevel"/>
    <w:tmpl w:val="87C2C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51D93"/>
    <w:multiLevelType w:val="hybridMultilevel"/>
    <w:tmpl w:val="8DBE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A35249"/>
    <w:multiLevelType w:val="hybridMultilevel"/>
    <w:tmpl w:val="0A34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F72057"/>
    <w:multiLevelType w:val="hybridMultilevel"/>
    <w:tmpl w:val="D79E43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07154"/>
    <w:multiLevelType w:val="hybridMultilevel"/>
    <w:tmpl w:val="CEFC2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9D4AFB"/>
    <w:multiLevelType w:val="hybridMultilevel"/>
    <w:tmpl w:val="7D8E1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4"/>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26D1"/>
    <w:rsid w:val="000020E8"/>
    <w:rsid w:val="00003A97"/>
    <w:rsid w:val="00012AA6"/>
    <w:rsid w:val="00012ECF"/>
    <w:rsid w:val="00013D32"/>
    <w:rsid w:val="000152F3"/>
    <w:rsid w:val="0001777D"/>
    <w:rsid w:val="00021A5F"/>
    <w:rsid w:val="00024550"/>
    <w:rsid w:val="00025C1A"/>
    <w:rsid w:val="000301B5"/>
    <w:rsid w:val="0003049A"/>
    <w:rsid w:val="0003073A"/>
    <w:rsid w:val="00031DCD"/>
    <w:rsid w:val="00033ED2"/>
    <w:rsid w:val="00034FEA"/>
    <w:rsid w:val="0004510B"/>
    <w:rsid w:val="0004618A"/>
    <w:rsid w:val="00053A0F"/>
    <w:rsid w:val="00055E21"/>
    <w:rsid w:val="000567A2"/>
    <w:rsid w:val="00061B2D"/>
    <w:rsid w:val="00062FE0"/>
    <w:rsid w:val="00063A01"/>
    <w:rsid w:val="00064D48"/>
    <w:rsid w:val="00070D0A"/>
    <w:rsid w:val="00070FE1"/>
    <w:rsid w:val="00073C56"/>
    <w:rsid w:val="00077879"/>
    <w:rsid w:val="0007799C"/>
    <w:rsid w:val="00083AE2"/>
    <w:rsid w:val="000844B1"/>
    <w:rsid w:val="000926D9"/>
    <w:rsid w:val="000A0C47"/>
    <w:rsid w:val="000A7F28"/>
    <w:rsid w:val="000B1AB2"/>
    <w:rsid w:val="000B58C6"/>
    <w:rsid w:val="000B65C1"/>
    <w:rsid w:val="000C06A1"/>
    <w:rsid w:val="000C26D2"/>
    <w:rsid w:val="000C5789"/>
    <w:rsid w:val="000C684F"/>
    <w:rsid w:val="000D2FAB"/>
    <w:rsid w:val="000E18D5"/>
    <w:rsid w:val="000E2828"/>
    <w:rsid w:val="000E2E1D"/>
    <w:rsid w:val="000E3616"/>
    <w:rsid w:val="000E4E7C"/>
    <w:rsid w:val="000E6076"/>
    <w:rsid w:val="000E786E"/>
    <w:rsid w:val="000F15C0"/>
    <w:rsid w:val="000F2D61"/>
    <w:rsid w:val="000F51B4"/>
    <w:rsid w:val="00101176"/>
    <w:rsid w:val="00102853"/>
    <w:rsid w:val="00102A1E"/>
    <w:rsid w:val="0010327A"/>
    <w:rsid w:val="001046B4"/>
    <w:rsid w:val="0011275F"/>
    <w:rsid w:val="00114195"/>
    <w:rsid w:val="0011447A"/>
    <w:rsid w:val="0011791A"/>
    <w:rsid w:val="001267F9"/>
    <w:rsid w:val="00126B32"/>
    <w:rsid w:val="00127123"/>
    <w:rsid w:val="00132C2B"/>
    <w:rsid w:val="0013302C"/>
    <w:rsid w:val="00137B7A"/>
    <w:rsid w:val="0014035A"/>
    <w:rsid w:val="0014049C"/>
    <w:rsid w:val="001409DE"/>
    <w:rsid w:val="001454E2"/>
    <w:rsid w:val="00147F10"/>
    <w:rsid w:val="00150A8B"/>
    <w:rsid w:val="00150BF6"/>
    <w:rsid w:val="00152B66"/>
    <w:rsid w:val="00157EDF"/>
    <w:rsid w:val="00160504"/>
    <w:rsid w:val="001606B9"/>
    <w:rsid w:val="00161091"/>
    <w:rsid w:val="00163A0B"/>
    <w:rsid w:val="00177121"/>
    <w:rsid w:val="0018373B"/>
    <w:rsid w:val="00186B45"/>
    <w:rsid w:val="001918B2"/>
    <w:rsid w:val="00192653"/>
    <w:rsid w:val="001A0E29"/>
    <w:rsid w:val="001A19FE"/>
    <w:rsid w:val="001A210C"/>
    <w:rsid w:val="001A38F2"/>
    <w:rsid w:val="001B1ABC"/>
    <w:rsid w:val="001B3A31"/>
    <w:rsid w:val="001B4747"/>
    <w:rsid w:val="001C099C"/>
    <w:rsid w:val="001C1D70"/>
    <w:rsid w:val="001D17BB"/>
    <w:rsid w:val="001D182B"/>
    <w:rsid w:val="001D2CD4"/>
    <w:rsid w:val="001D3307"/>
    <w:rsid w:val="001D6662"/>
    <w:rsid w:val="001D6F1E"/>
    <w:rsid w:val="001E1E4F"/>
    <w:rsid w:val="001E204C"/>
    <w:rsid w:val="001E4453"/>
    <w:rsid w:val="001E7BE9"/>
    <w:rsid w:val="001F068F"/>
    <w:rsid w:val="002001D0"/>
    <w:rsid w:val="00211362"/>
    <w:rsid w:val="002116BE"/>
    <w:rsid w:val="002131F5"/>
    <w:rsid w:val="00215D12"/>
    <w:rsid w:val="00225546"/>
    <w:rsid w:val="00232B51"/>
    <w:rsid w:val="002334F6"/>
    <w:rsid w:val="00233D7E"/>
    <w:rsid w:val="00234262"/>
    <w:rsid w:val="0023684E"/>
    <w:rsid w:val="00241082"/>
    <w:rsid w:val="0024357B"/>
    <w:rsid w:val="00243B29"/>
    <w:rsid w:val="00243C3A"/>
    <w:rsid w:val="0024448E"/>
    <w:rsid w:val="002444A1"/>
    <w:rsid w:val="0024532B"/>
    <w:rsid w:val="002457AD"/>
    <w:rsid w:val="00245A81"/>
    <w:rsid w:val="0024737B"/>
    <w:rsid w:val="002502D9"/>
    <w:rsid w:val="0025184A"/>
    <w:rsid w:val="002536B2"/>
    <w:rsid w:val="00256134"/>
    <w:rsid w:val="00256DF0"/>
    <w:rsid w:val="00260AE7"/>
    <w:rsid w:val="00263F3A"/>
    <w:rsid w:val="00265C35"/>
    <w:rsid w:val="00280A7A"/>
    <w:rsid w:val="00283C3E"/>
    <w:rsid w:val="0029390C"/>
    <w:rsid w:val="00295586"/>
    <w:rsid w:val="002A022C"/>
    <w:rsid w:val="002A2D3B"/>
    <w:rsid w:val="002B3CD6"/>
    <w:rsid w:val="002C255A"/>
    <w:rsid w:val="002C350F"/>
    <w:rsid w:val="002C5A21"/>
    <w:rsid w:val="002C5F33"/>
    <w:rsid w:val="002C719B"/>
    <w:rsid w:val="002D24F6"/>
    <w:rsid w:val="002D2881"/>
    <w:rsid w:val="002E1528"/>
    <w:rsid w:val="002E4BEF"/>
    <w:rsid w:val="002E6C13"/>
    <w:rsid w:val="002E6D9B"/>
    <w:rsid w:val="002E7903"/>
    <w:rsid w:val="002F15EC"/>
    <w:rsid w:val="003001BC"/>
    <w:rsid w:val="00303346"/>
    <w:rsid w:val="0031181C"/>
    <w:rsid w:val="0031485D"/>
    <w:rsid w:val="003177D5"/>
    <w:rsid w:val="0032086A"/>
    <w:rsid w:val="003218C6"/>
    <w:rsid w:val="00323615"/>
    <w:rsid w:val="00323660"/>
    <w:rsid w:val="00323CEF"/>
    <w:rsid w:val="00324202"/>
    <w:rsid w:val="003253ED"/>
    <w:rsid w:val="00327640"/>
    <w:rsid w:val="003307D3"/>
    <w:rsid w:val="00330E27"/>
    <w:rsid w:val="0033379B"/>
    <w:rsid w:val="00334757"/>
    <w:rsid w:val="003435C4"/>
    <w:rsid w:val="00343909"/>
    <w:rsid w:val="00346C07"/>
    <w:rsid w:val="003475A0"/>
    <w:rsid w:val="003504D8"/>
    <w:rsid w:val="003523BF"/>
    <w:rsid w:val="003555C1"/>
    <w:rsid w:val="0036306B"/>
    <w:rsid w:val="00365F20"/>
    <w:rsid w:val="00366B15"/>
    <w:rsid w:val="00367BB4"/>
    <w:rsid w:val="0037043F"/>
    <w:rsid w:val="00370730"/>
    <w:rsid w:val="00377CF7"/>
    <w:rsid w:val="003813EC"/>
    <w:rsid w:val="00381C96"/>
    <w:rsid w:val="00384A72"/>
    <w:rsid w:val="00385621"/>
    <w:rsid w:val="00391AB7"/>
    <w:rsid w:val="00393AC5"/>
    <w:rsid w:val="0039655C"/>
    <w:rsid w:val="003A0E01"/>
    <w:rsid w:val="003A0F23"/>
    <w:rsid w:val="003A425B"/>
    <w:rsid w:val="003A66E3"/>
    <w:rsid w:val="003B1E61"/>
    <w:rsid w:val="003B2A02"/>
    <w:rsid w:val="003B5271"/>
    <w:rsid w:val="003C1AB9"/>
    <w:rsid w:val="003C579B"/>
    <w:rsid w:val="003D152D"/>
    <w:rsid w:val="003D3886"/>
    <w:rsid w:val="003D43DD"/>
    <w:rsid w:val="003D598C"/>
    <w:rsid w:val="003D7F0B"/>
    <w:rsid w:val="003E0F11"/>
    <w:rsid w:val="003E298B"/>
    <w:rsid w:val="003E544E"/>
    <w:rsid w:val="003E77AE"/>
    <w:rsid w:val="003F1579"/>
    <w:rsid w:val="003F17F1"/>
    <w:rsid w:val="003F26F4"/>
    <w:rsid w:val="003F6584"/>
    <w:rsid w:val="00401EA4"/>
    <w:rsid w:val="00404885"/>
    <w:rsid w:val="00406F03"/>
    <w:rsid w:val="004110C2"/>
    <w:rsid w:val="004158B6"/>
    <w:rsid w:val="0042013F"/>
    <w:rsid w:val="00421135"/>
    <w:rsid w:val="00421B7A"/>
    <w:rsid w:val="00422839"/>
    <w:rsid w:val="00424960"/>
    <w:rsid w:val="00432DAC"/>
    <w:rsid w:val="00433718"/>
    <w:rsid w:val="004355D5"/>
    <w:rsid w:val="00443912"/>
    <w:rsid w:val="00445B5C"/>
    <w:rsid w:val="00447DE3"/>
    <w:rsid w:val="00452E13"/>
    <w:rsid w:val="00456019"/>
    <w:rsid w:val="00456B03"/>
    <w:rsid w:val="00460AB5"/>
    <w:rsid w:val="00460DC9"/>
    <w:rsid w:val="00461717"/>
    <w:rsid w:val="0046389E"/>
    <w:rsid w:val="00463B26"/>
    <w:rsid w:val="00467218"/>
    <w:rsid w:val="00467BF0"/>
    <w:rsid w:val="00474FD0"/>
    <w:rsid w:val="004759D8"/>
    <w:rsid w:val="0048263D"/>
    <w:rsid w:val="00482895"/>
    <w:rsid w:val="00482F01"/>
    <w:rsid w:val="0048443E"/>
    <w:rsid w:val="0048535D"/>
    <w:rsid w:val="0049691F"/>
    <w:rsid w:val="004A02FA"/>
    <w:rsid w:val="004B0C44"/>
    <w:rsid w:val="004B1BD0"/>
    <w:rsid w:val="004B5F28"/>
    <w:rsid w:val="004B6156"/>
    <w:rsid w:val="004B6D46"/>
    <w:rsid w:val="004C2DB4"/>
    <w:rsid w:val="004C3AE6"/>
    <w:rsid w:val="004D102F"/>
    <w:rsid w:val="004D5D9D"/>
    <w:rsid w:val="004D6A6A"/>
    <w:rsid w:val="004D7925"/>
    <w:rsid w:val="004D79AF"/>
    <w:rsid w:val="004E10C2"/>
    <w:rsid w:val="004E13A1"/>
    <w:rsid w:val="004E1686"/>
    <w:rsid w:val="004E2D8E"/>
    <w:rsid w:val="004E48EC"/>
    <w:rsid w:val="004E649B"/>
    <w:rsid w:val="004E6A27"/>
    <w:rsid w:val="004E7EE4"/>
    <w:rsid w:val="004F1CE3"/>
    <w:rsid w:val="004F3658"/>
    <w:rsid w:val="004F42A1"/>
    <w:rsid w:val="004F452E"/>
    <w:rsid w:val="004F61AF"/>
    <w:rsid w:val="004F714F"/>
    <w:rsid w:val="004F7CD7"/>
    <w:rsid w:val="00505DC7"/>
    <w:rsid w:val="00511126"/>
    <w:rsid w:val="005118C3"/>
    <w:rsid w:val="0051301F"/>
    <w:rsid w:val="00513CB9"/>
    <w:rsid w:val="00513DCB"/>
    <w:rsid w:val="00514B42"/>
    <w:rsid w:val="00514C5B"/>
    <w:rsid w:val="00515E22"/>
    <w:rsid w:val="00517763"/>
    <w:rsid w:val="005201F2"/>
    <w:rsid w:val="00522541"/>
    <w:rsid w:val="00523268"/>
    <w:rsid w:val="0052507D"/>
    <w:rsid w:val="005254A4"/>
    <w:rsid w:val="00526028"/>
    <w:rsid w:val="005261CD"/>
    <w:rsid w:val="00527FC4"/>
    <w:rsid w:val="005304D7"/>
    <w:rsid w:val="00531630"/>
    <w:rsid w:val="00531CA4"/>
    <w:rsid w:val="00533ED6"/>
    <w:rsid w:val="00534FBF"/>
    <w:rsid w:val="00540241"/>
    <w:rsid w:val="00542BBE"/>
    <w:rsid w:val="005432DD"/>
    <w:rsid w:val="00546D53"/>
    <w:rsid w:val="005542C0"/>
    <w:rsid w:val="0055476F"/>
    <w:rsid w:val="00557818"/>
    <w:rsid w:val="00557A4C"/>
    <w:rsid w:val="00560D41"/>
    <w:rsid w:val="005649F6"/>
    <w:rsid w:val="00564F05"/>
    <w:rsid w:val="005676BC"/>
    <w:rsid w:val="005705FF"/>
    <w:rsid w:val="00572018"/>
    <w:rsid w:val="00576A0A"/>
    <w:rsid w:val="00576B31"/>
    <w:rsid w:val="005771BE"/>
    <w:rsid w:val="00577CE2"/>
    <w:rsid w:val="00577FBC"/>
    <w:rsid w:val="00577FE6"/>
    <w:rsid w:val="0058109A"/>
    <w:rsid w:val="00581B4F"/>
    <w:rsid w:val="00583EEA"/>
    <w:rsid w:val="005848AD"/>
    <w:rsid w:val="00585652"/>
    <w:rsid w:val="005858E3"/>
    <w:rsid w:val="005904A0"/>
    <w:rsid w:val="0059273F"/>
    <w:rsid w:val="00592C83"/>
    <w:rsid w:val="00593A45"/>
    <w:rsid w:val="00596643"/>
    <w:rsid w:val="005A1725"/>
    <w:rsid w:val="005A3C79"/>
    <w:rsid w:val="005A3D6B"/>
    <w:rsid w:val="005A57E6"/>
    <w:rsid w:val="005A724A"/>
    <w:rsid w:val="005B16B9"/>
    <w:rsid w:val="005B40E5"/>
    <w:rsid w:val="005B4992"/>
    <w:rsid w:val="005C42F8"/>
    <w:rsid w:val="005C5484"/>
    <w:rsid w:val="005C7AFC"/>
    <w:rsid w:val="005D0F37"/>
    <w:rsid w:val="005D0F8F"/>
    <w:rsid w:val="005D1A00"/>
    <w:rsid w:val="005D251C"/>
    <w:rsid w:val="005D31D2"/>
    <w:rsid w:val="005E00FF"/>
    <w:rsid w:val="005E308E"/>
    <w:rsid w:val="005E5ADC"/>
    <w:rsid w:val="005E6C54"/>
    <w:rsid w:val="005E72EC"/>
    <w:rsid w:val="005F2A43"/>
    <w:rsid w:val="005F374D"/>
    <w:rsid w:val="005F3A2E"/>
    <w:rsid w:val="005F5FEC"/>
    <w:rsid w:val="005F7620"/>
    <w:rsid w:val="00607DF6"/>
    <w:rsid w:val="00607EFC"/>
    <w:rsid w:val="0061059D"/>
    <w:rsid w:val="00613738"/>
    <w:rsid w:val="00614684"/>
    <w:rsid w:val="006154D3"/>
    <w:rsid w:val="006204E0"/>
    <w:rsid w:val="0062260B"/>
    <w:rsid w:val="00624E27"/>
    <w:rsid w:val="00627BFC"/>
    <w:rsid w:val="00627CC0"/>
    <w:rsid w:val="0063205B"/>
    <w:rsid w:val="00634DDD"/>
    <w:rsid w:val="006352F9"/>
    <w:rsid w:val="00636E3F"/>
    <w:rsid w:val="0064343C"/>
    <w:rsid w:val="00644134"/>
    <w:rsid w:val="00644E5C"/>
    <w:rsid w:val="00645B6D"/>
    <w:rsid w:val="00647C93"/>
    <w:rsid w:val="00652753"/>
    <w:rsid w:val="0065553E"/>
    <w:rsid w:val="006654B3"/>
    <w:rsid w:val="00665F30"/>
    <w:rsid w:val="006669DF"/>
    <w:rsid w:val="00667A36"/>
    <w:rsid w:val="00670CDE"/>
    <w:rsid w:val="006743F4"/>
    <w:rsid w:val="00675DA4"/>
    <w:rsid w:val="006773AA"/>
    <w:rsid w:val="006810A5"/>
    <w:rsid w:val="00681404"/>
    <w:rsid w:val="00687B45"/>
    <w:rsid w:val="00691C70"/>
    <w:rsid w:val="0069234B"/>
    <w:rsid w:val="006931BC"/>
    <w:rsid w:val="006963FB"/>
    <w:rsid w:val="006A5E6A"/>
    <w:rsid w:val="006A61F8"/>
    <w:rsid w:val="006A65DD"/>
    <w:rsid w:val="006B2CAB"/>
    <w:rsid w:val="006B500D"/>
    <w:rsid w:val="006C08DF"/>
    <w:rsid w:val="006C277A"/>
    <w:rsid w:val="006C7167"/>
    <w:rsid w:val="006D2F79"/>
    <w:rsid w:val="006D3F60"/>
    <w:rsid w:val="006D4291"/>
    <w:rsid w:val="006D54D3"/>
    <w:rsid w:val="006D7010"/>
    <w:rsid w:val="006E61A1"/>
    <w:rsid w:val="006F1054"/>
    <w:rsid w:val="006F3411"/>
    <w:rsid w:val="006F35C4"/>
    <w:rsid w:val="006F476E"/>
    <w:rsid w:val="00701B8E"/>
    <w:rsid w:val="0070605D"/>
    <w:rsid w:val="00717583"/>
    <w:rsid w:val="00717B9D"/>
    <w:rsid w:val="007228ED"/>
    <w:rsid w:val="007233C9"/>
    <w:rsid w:val="0072643A"/>
    <w:rsid w:val="00731C51"/>
    <w:rsid w:val="00733281"/>
    <w:rsid w:val="00734741"/>
    <w:rsid w:val="007351EE"/>
    <w:rsid w:val="00736E05"/>
    <w:rsid w:val="00740D48"/>
    <w:rsid w:val="00743707"/>
    <w:rsid w:val="00745021"/>
    <w:rsid w:val="00746419"/>
    <w:rsid w:val="00753CA8"/>
    <w:rsid w:val="00756A41"/>
    <w:rsid w:val="00763222"/>
    <w:rsid w:val="00763C04"/>
    <w:rsid w:val="007646FF"/>
    <w:rsid w:val="00765F0C"/>
    <w:rsid w:val="00770D67"/>
    <w:rsid w:val="00773945"/>
    <w:rsid w:val="00774B8F"/>
    <w:rsid w:val="00776740"/>
    <w:rsid w:val="00777DAF"/>
    <w:rsid w:val="00784FA6"/>
    <w:rsid w:val="00785AE9"/>
    <w:rsid w:val="00787861"/>
    <w:rsid w:val="00787BE8"/>
    <w:rsid w:val="00792544"/>
    <w:rsid w:val="00794812"/>
    <w:rsid w:val="0079533D"/>
    <w:rsid w:val="00796D24"/>
    <w:rsid w:val="007971C0"/>
    <w:rsid w:val="007A2861"/>
    <w:rsid w:val="007A2DA2"/>
    <w:rsid w:val="007A5D74"/>
    <w:rsid w:val="007A6FCB"/>
    <w:rsid w:val="007B1D68"/>
    <w:rsid w:val="007B2429"/>
    <w:rsid w:val="007C0E99"/>
    <w:rsid w:val="007C50FF"/>
    <w:rsid w:val="007C5508"/>
    <w:rsid w:val="007C68C7"/>
    <w:rsid w:val="007D20DC"/>
    <w:rsid w:val="007D214C"/>
    <w:rsid w:val="007E1320"/>
    <w:rsid w:val="007E1CE3"/>
    <w:rsid w:val="007E2876"/>
    <w:rsid w:val="007E36B7"/>
    <w:rsid w:val="007E378D"/>
    <w:rsid w:val="007E7A2D"/>
    <w:rsid w:val="007F1DCB"/>
    <w:rsid w:val="007F4CE9"/>
    <w:rsid w:val="00800EA3"/>
    <w:rsid w:val="00804DCD"/>
    <w:rsid w:val="00816F18"/>
    <w:rsid w:val="00821C73"/>
    <w:rsid w:val="008233A3"/>
    <w:rsid w:val="00825AD6"/>
    <w:rsid w:val="008317AD"/>
    <w:rsid w:val="0083253C"/>
    <w:rsid w:val="00834A08"/>
    <w:rsid w:val="008368B0"/>
    <w:rsid w:val="00841B3A"/>
    <w:rsid w:val="00846BDE"/>
    <w:rsid w:val="00847E09"/>
    <w:rsid w:val="008530AB"/>
    <w:rsid w:val="008537D6"/>
    <w:rsid w:val="00860707"/>
    <w:rsid w:val="00860FEC"/>
    <w:rsid w:val="008616FC"/>
    <w:rsid w:val="00863D49"/>
    <w:rsid w:val="00871B13"/>
    <w:rsid w:val="00873337"/>
    <w:rsid w:val="0087360A"/>
    <w:rsid w:val="00873BC7"/>
    <w:rsid w:val="008740BC"/>
    <w:rsid w:val="00875071"/>
    <w:rsid w:val="008767C1"/>
    <w:rsid w:val="00880128"/>
    <w:rsid w:val="00881E04"/>
    <w:rsid w:val="00882358"/>
    <w:rsid w:val="008842AF"/>
    <w:rsid w:val="008842DB"/>
    <w:rsid w:val="008907B6"/>
    <w:rsid w:val="00890DF8"/>
    <w:rsid w:val="00891E86"/>
    <w:rsid w:val="008934F4"/>
    <w:rsid w:val="00896AA2"/>
    <w:rsid w:val="008A364F"/>
    <w:rsid w:val="008A5E55"/>
    <w:rsid w:val="008A6F53"/>
    <w:rsid w:val="008B09C0"/>
    <w:rsid w:val="008B12A3"/>
    <w:rsid w:val="008B29F2"/>
    <w:rsid w:val="008B5DDE"/>
    <w:rsid w:val="008B7765"/>
    <w:rsid w:val="008B7E8E"/>
    <w:rsid w:val="008B7F2F"/>
    <w:rsid w:val="008C16E1"/>
    <w:rsid w:val="008C460A"/>
    <w:rsid w:val="008C4DE7"/>
    <w:rsid w:val="008C4F92"/>
    <w:rsid w:val="008C57EC"/>
    <w:rsid w:val="008D0E77"/>
    <w:rsid w:val="008D2EBA"/>
    <w:rsid w:val="008D467B"/>
    <w:rsid w:val="008D503D"/>
    <w:rsid w:val="008D7061"/>
    <w:rsid w:val="008E089B"/>
    <w:rsid w:val="008E268E"/>
    <w:rsid w:val="008E3079"/>
    <w:rsid w:val="008F15A3"/>
    <w:rsid w:val="008F1B3D"/>
    <w:rsid w:val="008F2271"/>
    <w:rsid w:val="008F467E"/>
    <w:rsid w:val="008F4E47"/>
    <w:rsid w:val="008F5615"/>
    <w:rsid w:val="0090236B"/>
    <w:rsid w:val="0090447A"/>
    <w:rsid w:val="00907184"/>
    <w:rsid w:val="00907AB1"/>
    <w:rsid w:val="00913608"/>
    <w:rsid w:val="0091384F"/>
    <w:rsid w:val="0091421C"/>
    <w:rsid w:val="00914FD5"/>
    <w:rsid w:val="009206A8"/>
    <w:rsid w:val="00923F73"/>
    <w:rsid w:val="009258D4"/>
    <w:rsid w:val="009266BB"/>
    <w:rsid w:val="00935DFC"/>
    <w:rsid w:val="00940337"/>
    <w:rsid w:val="00941BC2"/>
    <w:rsid w:val="0094424B"/>
    <w:rsid w:val="00945B66"/>
    <w:rsid w:val="00946320"/>
    <w:rsid w:val="0095027A"/>
    <w:rsid w:val="00950839"/>
    <w:rsid w:val="009512E3"/>
    <w:rsid w:val="00954206"/>
    <w:rsid w:val="00954E24"/>
    <w:rsid w:val="0095545C"/>
    <w:rsid w:val="00960309"/>
    <w:rsid w:val="009608B9"/>
    <w:rsid w:val="00962B6C"/>
    <w:rsid w:val="0096400F"/>
    <w:rsid w:val="00971DD0"/>
    <w:rsid w:val="00972D40"/>
    <w:rsid w:val="0097446C"/>
    <w:rsid w:val="00974A41"/>
    <w:rsid w:val="00987A51"/>
    <w:rsid w:val="009937BD"/>
    <w:rsid w:val="00995192"/>
    <w:rsid w:val="00997426"/>
    <w:rsid w:val="009A09BC"/>
    <w:rsid w:val="009A395A"/>
    <w:rsid w:val="009A7D5E"/>
    <w:rsid w:val="009B56B0"/>
    <w:rsid w:val="009B70AF"/>
    <w:rsid w:val="009C2E23"/>
    <w:rsid w:val="009C7245"/>
    <w:rsid w:val="009D580F"/>
    <w:rsid w:val="009E271E"/>
    <w:rsid w:val="009E46D7"/>
    <w:rsid w:val="009E6785"/>
    <w:rsid w:val="009E71F3"/>
    <w:rsid w:val="009F0CA6"/>
    <w:rsid w:val="009F1F77"/>
    <w:rsid w:val="009F5E43"/>
    <w:rsid w:val="00A025A2"/>
    <w:rsid w:val="00A04308"/>
    <w:rsid w:val="00A04327"/>
    <w:rsid w:val="00A04E7E"/>
    <w:rsid w:val="00A12AEA"/>
    <w:rsid w:val="00A140CB"/>
    <w:rsid w:val="00A15634"/>
    <w:rsid w:val="00A17ACB"/>
    <w:rsid w:val="00A208DE"/>
    <w:rsid w:val="00A2093E"/>
    <w:rsid w:val="00A22207"/>
    <w:rsid w:val="00A24F34"/>
    <w:rsid w:val="00A2513C"/>
    <w:rsid w:val="00A27771"/>
    <w:rsid w:val="00A2778F"/>
    <w:rsid w:val="00A309CA"/>
    <w:rsid w:val="00A31036"/>
    <w:rsid w:val="00A32F06"/>
    <w:rsid w:val="00A34C99"/>
    <w:rsid w:val="00A40CBA"/>
    <w:rsid w:val="00A41B1B"/>
    <w:rsid w:val="00A44A36"/>
    <w:rsid w:val="00A45C6C"/>
    <w:rsid w:val="00A475A0"/>
    <w:rsid w:val="00A47DCE"/>
    <w:rsid w:val="00A51162"/>
    <w:rsid w:val="00A516FC"/>
    <w:rsid w:val="00A52135"/>
    <w:rsid w:val="00A52D07"/>
    <w:rsid w:val="00A55CE4"/>
    <w:rsid w:val="00A619DA"/>
    <w:rsid w:val="00A635E8"/>
    <w:rsid w:val="00A64EC8"/>
    <w:rsid w:val="00A67C7D"/>
    <w:rsid w:val="00A71BC1"/>
    <w:rsid w:val="00A72693"/>
    <w:rsid w:val="00A77AB1"/>
    <w:rsid w:val="00A80202"/>
    <w:rsid w:val="00A80F4A"/>
    <w:rsid w:val="00A843D0"/>
    <w:rsid w:val="00A87FB6"/>
    <w:rsid w:val="00A91802"/>
    <w:rsid w:val="00A93769"/>
    <w:rsid w:val="00A94657"/>
    <w:rsid w:val="00AA145D"/>
    <w:rsid w:val="00AA2C2A"/>
    <w:rsid w:val="00AA648D"/>
    <w:rsid w:val="00AA68C0"/>
    <w:rsid w:val="00AA70FF"/>
    <w:rsid w:val="00AB0F58"/>
    <w:rsid w:val="00AB35D6"/>
    <w:rsid w:val="00AB657A"/>
    <w:rsid w:val="00AC2419"/>
    <w:rsid w:val="00AC76D1"/>
    <w:rsid w:val="00AD26F8"/>
    <w:rsid w:val="00AD3356"/>
    <w:rsid w:val="00AD7645"/>
    <w:rsid w:val="00AE03BC"/>
    <w:rsid w:val="00AE3F51"/>
    <w:rsid w:val="00AE5AE1"/>
    <w:rsid w:val="00AE690F"/>
    <w:rsid w:val="00AF10E4"/>
    <w:rsid w:val="00AF1517"/>
    <w:rsid w:val="00AF154F"/>
    <w:rsid w:val="00AF22CE"/>
    <w:rsid w:val="00AF4CDE"/>
    <w:rsid w:val="00AF5A44"/>
    <w:rsid w:val="00AF6E0D"/>
    <w:rsid w:val="00B12AC9"/>
    <w:rsid w:val="00B13A2C"/>
    <w:rsid w:val="00B149C4"/>
    <w:rsid w:val="00B21702"/>
    <w:rsid w:val="00B21CCB"/>
    <w:rsid w:val="00B25C7A"/>
    <w:rsid w:val="00B262B6"/>
    <w:rsid w:val="00B354F0"/>
    <w:rsid w:val="00B35DAA"/>
    <w:rsid w:val="00B360D5"/>
    <w:rsid w:val="00B3656F"/>
    <w:rsid w:val="00B40832"/>
    <w:rsid w:val="00B41F2F"/>
    <w:rsid w:val="00B430F2"/>
    <w:rsid w:val="00B44251"/>
    <w:rsid w:val="00B4446A"/>
    <w:rsid w:val="00B45489"/>
    <w:rsid w:val="00B4562E"/>
    <w:rsid w:val="00B457ED"/>
    <w:rsid w:val="00B472D8"/>
    <w:rsid w:val="00B53A2F"/>
    <w:rsid w:val="00B53E9B"/>
    <w:rsid w:val="00B55E57"/>
    <w:rsid w:val="00B57076"/>
    <w:rsid w:val="00B57577"/>
    <w:rsid w:val="00B602BF"/>
    <w:rsid w:val="00B61EE8"/>
    <w:rsid w:val="00B6402A"/>
    <w:rsid w:val="00B746C4"/>
    <w:rsid w:val="00B7548D"/>
    <w:rsid w:val="00B76B16"/>
    <w:rsid w:val="00B805BC"/>
    <w:rsid w:val="00B808CD"/>
    <w:rsid w:val="00B81937"/>
    <w:rsid w:val="00B81EE8"/>
    <w:rsid w:val="00B84081"/>
    <w:rsid w:val="00B85BB5"/>
    <w:rsid w:val="00B91B65"/>
    <w:rsid w:val="00B926F9"/>
    <w:rsid w:val="00B94120"/>
    <w:rsid w:val="00B96323"/>
    <w:rsid w:val="00BA1305"/>
    <w:rsid w:val="00BA21E0"/>
    <w:rsid w:val="00BA49AF"/>
    <w:rsid w:val="00BB2034"/>
    <w:rsid w:val="00BB44DC"/>
    <w:rsid w:val="00BB67FD"/>
    <w:rsid w:val="00BB7A75"/>
    <w:rsid w:val="00BC22C1"/>
    <w:rsid w:val="00BC247D"/>
    <w:rsid w:val="00BC3F87"/>
    <w:rsid w:val="00BC4627"/>
    <w:rsid w:val="00BD01E5"/>
    <w:rsid w:val="00BD1756"/>
    <w:rsid w:val="00BD1D86"/>
    <w:rsid w:val="00BD4970"/>
    <w:rsid w:val="00BE3727"/>
    <w:rsid w:val="00BE45CC"/>
    <w:rsid w:val="00BE6538"/>
    <w:rsid w:val="00BF7161"/>
    <w:rsid w:val="00C02837"/>
    <w:rsid w:val="00C02EE0"/>
    <w:rsid w:val="00C030E9"/>
    <w:rsid w:val="00C0772D"/>
    <w:rsid w:val="00C12EE5"/>
    <w:rsid w:val="00C160A9"/>
    <w:rsid w:val="00C236C2"/>
    <w:rsid w:val="00C3492D"/>
    <w:rsid w:val="00C35276"/>
    <w:rsid w:val="00C35DFC"/>
    <w:rsid w:val="00C363DC"/>
    <w:rsid w:val="00C3796E"/>
    <w:rsid w:val="00C42C7C"/>
    <w:rsid w:val="00C431B5"/>
    <w:rsid w:val="00C47029"/>
    <w:rsid w:val="00C47F38"/>
    <w:rsid w:val="00C518D9"/>
    <w:rsid w:val="00C56319"/>
    <w:rsid w:val="00C57C7B"/>
    <w:rsid w:val="00C61EAB"/>
    <w:rsid w:val="00C621EE"/>
    <w:rsid w:val="00C64DD5"/>
    <w:rsid w:val="00C653E2"/>
    <w:rsid w:val="00C65CD4"/>
    <w:rsid w:val="00C67C27"/>
    <w:rsid w:val="00C70647"/>
    <w:rsid w:val="00C75C00"/>
    <w:rsid w:val="00C8323E"/>
    <w:rsid w:val="00C91860"/>
    <w:rsid w:val="00C91B39"/>
    <w:rsid w:val="00C96366"/>
    <w:rsid w:val="00C97874"/>
    <w:rsid w:val="00C978B6"/>
    <w:rsid w:val="00CA0CFD"/>
    <w:rsid w:val="00CA2DAF"/>
    <w:rsid w:val="00CA6DE6"/>
    <w:rsid w:val="00CB0986"/>
    <w:rsid w:val="00CB4428"/>
    <w:rsid w:val="00CB5AB0"/>
    <w:rsid w:val="00CC15AE"/>
    <w:rsid w:val="00CC3360"/>
    <w:rsid w:val="00CC6924"/>
    <w:rsid w:val="00CD04F0"/>
    <w:rsid w:val="00CD2034"/>
    <w:rsid w:val="00CE4E31"/>
    <w:rsid w:val="00CE5738"/>
    <w:rsid w:val="00CE78AE"/>
    <w:rsid w:val="00CF3900"/>
    <w:rsid w:val="00CF4753"/>
    <w:rsid w:val="00CF65E2"/>
    <w:rsid w:val="00CF713F"/>
    <w:rsid w:val="00CF7BE9"/>
    <w:rsid w:val="00D00278"/>
    <w:rsid w:val="00D00DA5"/>
    <w:rsid w:val="00D01143"/>
    <w:rsid w:val="00D015DA"/>
    <w:rsid w:val="00D02CFD"/>
    <w:rsid w:val="00D038DD"/>
    <w:rsid w:val="00D05DAB"/>
    <w:rsid w:val="00D13180"/>
    <w:rsid w:val="00D144BF"/>
    <w:rsid w:val="00D21C35"/>
    <w:rsid w:val="00D234BA"/>
    <w:rsid w:val="00D301B3"/>
    <w:rsid w:val="00D30835"/>
    <w:rsid w:val="00D33B7D"/>
    <w:rsid w:val="00D355A3"/>
    <w:rsid w:val="00D35B94"/>
    <w:rsid w:val="00D405BD"/>
    <w:rsid w:val="00D416ED"/>
    <w:rsid w:val="00D46412"/>
    <w:rsid w:val="00D554CD"/>
    <w:rsid w:val="00D557C1"/>
    <w:rsid w:val="00D5583D"/>
    <w:rsid w:val="00D61F12"/>
    <w:rsid w:val="00D62040"/>
    <w:rsid w:val="00D70BEF"/>
    <w:rsid w:val="00D73488"/>
    <w:rsid w:val="00D834BC"/>
    <w:rsid w:val="00D84F04"/>
    <w:rsid w:val="00D85C46"/>
    <w:rsid w:val="00D90B86"/>
    <w:rsid w:val="00D95358"/>
    <w:rsid w:val="00D97B0D"/>
    <w:rsid w:val="00DA009F"/>
    <w:rsid w:val="00DA4797"/>
    <w:rsid w:val="00DA48DE"/>
    <w:rsid w:val="00DA6D8F"/>
    <w:rsid w:val="00DA7F3D"/>
    <w:rsid w:val="00DB5025"/>
    <w:rsid w:val="00DC0095"/>
    <w:rsid w:val="00DC0AFF"/>
    <w:rsid w:val="00DC4B9D"/>
    <w:rsid w:val="00DC5019"/>
    <w:rsid w:val="00DC55FB"/>
    <w:rsid w:val="00DC67AE"/>
    <w:rsid w:val="00DC76DD"/>
    <w:rsid w:val="00DD0A8C"/>
    <w:rsid w:val="00DD69A4"/>
    <w:rsid w:val="00DE2D7E"/>
    <w:rsid w:val="00DE40BE"/>
    <w:rsid w:val="00DF63D2"/>
    <w:rsid w:val="00DF6878"/>
    <w:rsid w:val="00DF7E5C"/>
    <w:rsid w:val="00E00373"/>
    <w:rsid w:val="00E00568"/>
    <w:rsid w:val="00E02D3C"/>
    <w:rsid w:val="00E02E7E"/>
    <w:rsid w:val="00E04D10"/>
    <w:rsid w:val="00E10001"/>
    <w:rsid w:val="00E10C2A"/>
    <w:rsid w:val="00E11791"/>
    <w:rsid w:val="00E11E8A"/>
    <w:rsid w:val="00E12661"/>
    <w:rsid w:val="00E129A8"/>
    <w:rsid w:val="00E157A2"/>
    <w:rsid w:val="00E2330A"/>
    <w:rsid w:val="00E2344C"/>
    <w:rsid w:val="00E2781D"/>
    <w:rsid w:val="00E33EE0"/>
    <w:rsid w:val="00E42073"/>
    <w:rsid w:val="00E443DB"/>
    <w:rsid w:val="00E4663E"/>
    <w:rsid w:val="00E46BF2"/>
    <w:rsid w:val="00E56846"/>
    <w:rsid w:val="00E6002B"/>
    <w:rsid w:val="00E61C50"/>
    <w:rsid w:val="00E65C27"/>
    <w:rsid w:val="00E762F6"/>
    <w:rsid w:val="00E7775A"/>
    <w:rsid w:val="00E82C95"/>
    <w:rsid w:val="00E83CF9"/>
    <w:rsid w:val="00E8423B"/>
    <w:rsid w:val="00E84B7C"/>
    <w:rsid w:val="00E93484"/>
    <w:rsid w:val="00E94689"/>
    <w:rsid w:val="00E95B2F"/>
    <w:rsid w:val="00EA06B3"/>
    <w:rsid w:val="00EB2E4E"/>
    <w:rsid w:val="00EC0C6F"/>
    <w:rsid w:val="00EC1068"/>
    <w:rsid w:val="00EC3712"/>
    <w:rsid w:val="00EC3C01"/>
    <w:rsid w:val="00ED233D"/>
    <w:rsid w:val="00ED2654"/>
    <w:rsid w:val="00ED39F3"/>
    <w:rsid w:val="00ED584A"/>
    <w:rsid w:val="00EE28A6"/>
    <w:rsid w:val="00EE300B"/>
    <w:rsid w:val="00EE564E"/>
    <w:rsid w:val="00EE6D1D"/>
    <w:rsid w:val="00EF2C69"/>
    <w:rsid w:val="00EF31E5"/>
    <w:rsid w:val="00EF34BD"/>
    <w:rsid w:val="00EF591E"/>
    <w:rsid w:val="00EF6DA2"/>
    <w:rsid w:val="00EF6F43"/>
    <w:rsid w:val="00EF7808"/>
    <w:rsid w:val="00EF7A66"/>
    <w:rsid w:val="00F01FB7"/>
    <w:rsid w:val="00F02FD5"/>
    <w:rsid w:val="00F045B1"/>
    <w:rsid w:val="00F047D4"/>
    <w:rsid w:val="00F05E8E"/>
    <w:rsid w:val="00F11945"/>
    <w:rsid w:val="00F12A4F"/>
    <w:rsid w:val="00F147BE"/>
    <w:rsid w:val="00F16873"/>
    <w:rsid w:val="00F16C45"/>
    <w:rsid w:val="00F1747B"/>
    <w:rsid w:val="00F325A1"/>
    <w:rsid w:val="00F333D2"/>
    <w:rsid w:val="00F34E78"/>
    <w:rsid w:val="00F40B5F"/>
    <w:rsid w:val="00F41A1D"/>
    <w:rsid w:val="00F44856"/>
    <w:rsid w:val="00F463A6"/>
    <w:rsid w:val="00F4780A"/>
    <w:rsid w:val="00F51449"/>
    <w:rsid w:val="00F52529"/>
    <w:rsid w:val="00F54088"/>
    <w:rsid w:val="00F54BCD"/>
    <w:rsid w:val="00F5759A"/>
    <w:rsid w:val="00F61909"/>
    <w:rsid w:val="00F62162"/>
    <w:rsid w:val="00F64647"/>
    <w:rsid w:val="00F647F2"/>
    <w:rsid w:val="00F65687"/>
    <w:rsid w:val="00F66EFB"/>
    <w:rsid w:val="00F70F4F"/>
    <w:rsid w:val="00F72C52"/>
    <w:rsid w:val="00F72DCE"/>
    <w:rsid w:val="00F733FF"/>
    <w:rsid w:val="00F7444A"/>
    <w:rsid w:val="00F76F7A"/>
    <w:rsid w:val="00F77F45"/>
    <w:rsid w:val="00F83189"/>
    <w:rsid w:val="00F84724"/>
    <w:rsid w:val="00F855C2"/>
    <w:rsid w:val="00F8596E"/>
    <w:rsid w:val="00F85C65"/>
    <w:rsid w:val="00F87C80"/>
    <w:rsid w:val="00F9061B"/>
    <w:rsid w:val="00F94533"/>
    <w:rsid w:val="00F95ACA"/>
    <w:rsid w:val="00FB140D"/>
    <w:rsid w:val="00FC6432"/>
    <w:rsid w:val="00FC70B1"/>
    <w:rsid w:val="00FE1F3E"/>
    <w:rsid w:val="00FE26D1"/>
    <w:rsid w:val="00FE290F"/>
    <w:rsid w:val="00FF05BF"/>
    <w:rsid w:val="00FF14CA"/>
    <w:rsid w:val="00FF263A"/>
    <w:rsid w:val="00FF2FCD"/>
    <w:rsid w:val="00FF3CAF"/>
    <w:rsid w:val="00FF54C2"/>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274E"/>
  <w15:docId w15:val="{F304B73E-62BC-4ED1-987C-1D5683EE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D1"/>
    <w:pPr>
      <w:ind w:left="720"/>
      <w:contextualSpacing/>
    </w:pPr>
  </w:style>
  <w:style w:type="paragraph" w:styleId="BalloonText">
    <w:name w:val="Balloon Text"/>
    <w:basedOn w:val="Normal"/>
    <w:link w:val="BalloonTextChar"/>
    <w:uiPriority w:val="99"/>
    <w:semiHidden/>
    <w:unhideWhenUsed/>
    <w:rsid w:val="00FE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D1"/>
    <w:rPr>
      <w:rFonts w:ascii="Tahoma" w:hAnsi="Tahoma" w:cs="Tahoma"/>
      <w:sz w:val="16"/>
      <w:szCs w:val="16"/>
    </w:rPr>
  </w:style>
  <w:style w:type="table" w:styleId="TableGrid">
    <w:name w:val="Table Grid"/>
    <w:basedOn w:val="TableNormal"/>
    <w:uiPriority w:val="59"/>
    <w:rsid w:val="00F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D1"/>
  </w:style>
  <w:style w:type="paragraph" w:styleId="Footer">
    <w:name w:val="footer"/>
    <w:basedOn w:val="Normal"/>
    <w:link w:val="FooterChar"/>
    <w:uiPriority w:val="99"/>
    <w:unhideWhenUsed/>
    <w:rsid w:val="00FE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D1"/>
  </w:style>
  <w:style w:type="paragraph" w:styleId="FootnoteText">
    <w:name w:val="footnote text"/>
    <w:basedOn w:val="Normal"/>
    <w:link w:val="FootnoteTextChar"/>
    <w:uiPriority w:val="99"/>
    <w:unhideWhenUsed/>
    <w:rsid w:val="00FE26D1"/>
    <w:pPr>
      <w:spacing w:after="0" w:line="240" w:lineRule="auto"/>
    </w:pPr>
    <w:rPr>
      <w:sz w:val="20"/>
      <w:szCs w:val="20"/>
    </w:rPr>
  </w:style>
  <w:style w:type="character" w:customStyle="1" w:styleId="FootnoteTextChar">
    <w:name w:val="Footnote Text Char"/>
    <w:basedOn w:val="DefaultParagraphFont"/>
    <w:link w:val="FootnoteText"/>
    <w:uiPriority w:val="99"/>
    <w:rsid w:val="00FE26D1"/>
    <w:rPr>
      <w:sz w:val="20"/>
      <w:szCs w:val="20"/>
    </w:rPr>
  </w:style>
  <w:style w:type="character" w:styleId="FootnoteReference">
    <w:name w:val="footnote reference"/>
    <w:basedOn w:val="DefaultParagraphFont"/>
    <w:uiPriority w:val="99"/>
    <w:semiHidden/>
    <w:unhideWhenUsed/>
    <w:rsid w:val="00FE26D1"/>
    <w:rPr>
      <w:vertAlign w:val="superscript"/>
    </w:rPr>
  </w:style>
  <w:style w:type="character" w:styleId="Hyperlink">
    <w:name w:val="Hyperlink"/>
    <w:basedOn w:val="DefaultParagraphFont"/>
    <w:uiPriority w:val="99"/>
    <w:unhideWhenUsed/>
    <w:rsid w:val="00FE26D1"/>
    <w:rPr>
      <w:color w:val="0000FF" w:themeColor="hyperlink"/>
      <w:u w:val="single"/>
    </w:rPr>
  </w:style>
  <w:style w:type="character" w:customStyle="1" w:styleId="EndnoteTextChar">
    <w:name w:val="Endnote Text Char"/>
    <w:basedOn w:val="DefaultParagraphFont"/>
    <w:link w:val="EndnoteText"/>
    <w:uiPriority w:val="99"/>
    <w:semiHidden/>
    <w:rsid w:val="00FE26D1"/>
    <w:rPr>
      <w:sz w:val="20"/>
      <w:szCs w:val="20"/>
    </w:rPr>
  </w:style>
  <w:style w:type="paragraph" w:styleId="EndnoteText">
    <w:name w:val="endnote text"/>
    <w:basedOn w:val="Normal"/>
    <w:link w:val="EndnoteTextChar"/>
    <w:uiPriority w:val="99"/>
    <w:semiHidden/>
    <w:unhideWhenUsed/>
    <w:rsid w:val="00FE26D1"/>
    <w:pPr>
      <w:spacing w:after="0" w:line="240" w:lineRule="auto"/>
    </w:pPr>
    <w:rPr>
      <w:sz w:val="20"/>
      <w:szCs w:val="20"/>
    </w:rPr>
  </w:style>
  <w:style w:type="paragraph" w:customStyle="1" w:styleId="Default">
    <w:name w:val="Default"/>
    <w:rsid w:val="00FE26D1"/>
    <w:pPr>
      <w:autoSpaceDE w:val="0"/>
      <w:autoSpaceDN w:val="0"/>
      <w:adjustRightInd w:val="0"/>
      <w:spacing w:after="0" w:line="240" w:lineRule="auto"/>
    </w:pPr>
    <w:rPr>
      <w:rFonts w:ascii="Tahoma" w:hAnsi="Tahoma" w:cs="Tahoma"/>
      <w:color w:val="000000"/>
      <w:sz w:val="24"/>
      <w:szCs w:val="24"/>
    </w:rPr>
  </w:style>
  <w:style w:type="paragraph" w:styleId="DocumentMap">
    <w:name w:val="Document Map"/>
    <w:basedOn w:val="Normal"/>
    <w:link w:val="DocumentMapChar"/>
    <w:uiPriority w:val="99"/>
    <w:semiHidden/>
    <w:unhideWhenUsed/>
    <w:rsid w:val="00FE26D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26D1"/>
    <w:rPr>
      <w:rFonts w:ascii="Tahoma" w:hAnsi="Tahoma" w:cs="Tahoma"/>
      <w:sz w:val="16"/>
      <w:szCs w:val="16"/>
    </w:rPr>
  </w:style>
  <w:style w:type="character" w:styleId="PlaceholderText">
    <w:name w:val="Placeholder Text"/>
    <w:basedOn w:val="DefaultParagraphFont"/>
    <w:uiPriority w:val="99"/>
    <w:semiHidden/>
    <w:rsid w:val="00E2781D"/>
    <w:rPr>
      <w:color w:val="808080"/>
    </w:rPr>
  </w:style>
  <w:style w:type="character" w:styleId="UnresolvedMention">
    <w:name w:val="Unresolved Mention"/>
    <w:basedOn w:val="DefaultParagraphFont"/>
    <w:uiPriority w:val="99"/>
    <w:semiHidden/>
    <w:unhideWhenUsed/>
    <w:rsid w:val="00FE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F6E4-2E6E-4C34-A3FF-9597E2DE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Saizal</dc:creator>
  <cp:lastModifiedBy>SAIZAL BIN PINJAMAN</cp:lastModifiedBy>
  <cp:revision>797</cp:revision>
  <dcterms:created xsi:type="dcterms:W3CDTF">2017-08-04T08:10:00Z</dcterms:created>
  <dcterms:modified xsi:type="dcterms:W3CDTF">2019-04-24T15:46:00Z</dcterms:modified>
</cp:coreProperties>
</file>