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BA8ED" w14:textId="0AE1AF27" w:rsidR="00D8013C" w:rsidRPr="00A70CCB" w:rsidRDefault="00D8013C" w:rsidP="0051175C">
      <w:pPr>
        <w:spacing w:after="0" w:line="240" w:lineRule="auto"/>
        <w:jc w:val="center"/>
        <w:outlineLvl w:val="1"/>
        <w:rPr>
          <w:rFonts w:ascii="Times New Roman" w:eastAsia="Times New Roman" w:hAnsi="Times New Roman" w:cs="Times New Roman"/>
          <w:b/>
          <w:bCs/>
          <w:kern w:val="0"/>
          <w:sz w:val="28"/>
          <w:szCs w:val="28"/>
          <w14:ligatures w14:val="none"/>
        </w:rPr>
      </w:pPr>
      <w:r w:rsidRPr="00A70CCB">
        <w:rPr>
          <w:rFonts w:ascii="Times New Roman" w:eastAsia="Times New Roman" w:hAnsi="Times New Roman" w:cs="Times New Roman"/>
          <w:b/>
          <w:bCs/>
          <w:kern w:val="0"/>
          <w:sz w:val="28"/>
          <w:szCs w:val="28"/>
          <w14:ligatures w14:val="none"/>
        </w:rPr>
        <w:t>LEARNERS’ PERSPECTIVES ON THE PRODUCTION-ORIENTED APPROACH IN MALAYSIA</w:t>
      </w:r>
      <w:r w:rsidR="00496DC0" w:rsidRPr="00A70CCB">
        <w:rPr>
          <w:rFonts w:ascii="Times New Roman" w:eastAsia="Times New Roman" w:hAnsi="Times New Roman" w:cs="Times New Roman"/>
          <w:b/>
          <w:bCs/>
          <w:kern w:val="0"/>
          <w:sz w:val="28"/>
          <w:szCs w:val="28"/>
          <w14:ligatures w14:val="none"/>
        </w:rPr>
        <w:t>N</w:t>
      </w:r>
      <w:r w:rsidRPr="00A70CCB">
        <w:rPr>
          <w:rFonts w:ascii="Times New Roman" w:eastAsia="Times New Roman" w:hAnsi="Times New Roman" w:cs="Times New Roman"/>
          <w:b/>
          <w:bCs/>
          <w:kern w:val="0"/>
          <w:sz w:val="28"/>
          <w:szCs w:val="28"/>
          <w14:ligatures w14:val="none"/>
        </w:rPr>
        <w:t xml:space="preserve"> BEGINNER CFL CLASSROOMS</w:t>
      </w:r>
    </w:p>
    <w:p w14:paraId="17F57F29" w14:textId="77777777" w:rsidR="007F7BD7" w:rsidRPr="007F7BD7" w:rsidRDefault="007F7BD7" w:rsidP="0051175C">
      <w:pPr>
        <w:spacing w:after="0" w:line="240" w:lineRule="auto"/>
        <w:jc w:val="center"/>
        <w:outlineLvl w:val="1"/>
        <w:rPr>
          <w:rFonts w:ascii="Times New Roman" w:eastAsia="Times New Roman" w:hAnsi="Times New Roman" w:cs="Times New Roman"/>
          <w:kern w:val="0"/>
          <w14:ligatures w14:val="none"/>
        </w:rPr>
      </w:pPr>
    </w:p>
    <w:p w14:paraId="0F41BDC3" w14:textId="77777777" w:rsidR="007F7BD7" w:rsidRPr="007F7BD7" w:rsidRDefault="007F7BD7" w:rsidP="0051175C">
      <w:pPr>
        <w:spacing w:after="0" w:line="240" w:lineRule="auto"/>
        <w:jc w:val="center"/>
        <w:outlineLvl w:val="1"/>
        <w:rPr>
          <w:rFonts w:ascii="Times New Roman" w:eastAsia="Times New Roman" w:hAnsi="Times New Roman" w:cs="Times New Roman"/>
          <w:kern w:val="0"/>
          <w14:ligatures w14:val="none"/>
        </w:rPr>
      </w:pPr>
    </w:p>
    <w:p w14:paraId="2A75654F" w14:textId="401C0D94" w:rsidR="00EC49E6" w:rsidRDefault="00A70CCB" w:rsidP="0051175C">
      <w:pPr>
        <w:spacing w:after="0" w:line="240" w:lineRule="auto"/>
        <w:jc w:val="center"/>
        <w:outlineLvl w:val="1"/>
        <w:rPr>
          <w:rFonts w:ascii="Times New Roman" w:eastAsia="Times New Roman" w:hAnsi="Times New Roman" w:cs="Times New Roman"/>
          <w:kern w:val="0"/>
          <w14:ligatures w14:val="none"/>
        </w:rPr>
      </w:pPr>
      <w:r w:rsidRPr="00A70CCB">
        <w:rPr>
          <w:rFonts w:ascii="Times New Roman" w:eastAsia="Times New Roman" w:hAnsi="Times New Roman" w:cs="Times New Roman"/>
          <w:kern w:val="0"/>
          <w:vertAlign w:val="superscript"/>
          <w14:ligatures w14:val="none"/>
        </w:rPr>
        <w:t>1</w:t>
      </w:r>
      <w:r>
        <w:rPr>
          <w:rFonts w:ascii="Times New Roman" w:eastAsia="Times New Roman" w:hAnsi="Times New Roman" w:cs="Times New Roman"/>
          <w:kern w:val="0"/>
          <w14:ligatures w14:val="none"/>
        </w:rPr>
        <w:t>*</w:t>
      </w:r>
      <w:r w:rsidR="00EC49E6" w:rsidRPr="00D52A49">
        <w:rPr>
          <w:rFonts w:ascii="Times New Roman" w:eastAsia="Times New Roman" w:hAnsi="Times New Roman" w:cs="Times New Roman"/>
          <w:kern w:val="0"/>
          <w14:ligatures w14:val="none"/>
        </w:rPr>
        <w:t>NABIHAH ALIA ABD RAHMAN</w:t>
      </w:r>
    </w:p>
    <w:p w14:paraId="37D87DBB" w14:textId="77777777" w:rsidR="007F7BD7" w:rsidRDefault="007F7BD7" w:rsidP="0051175C">
      <w:pPr>
        <w:spacing w:after="0" w:line="240" w:lineRule="auto"/>
        <w:jc w:val="center"/>
        <w:outlineLvl w:val="1"/>
        <w:rPr>
          <w:rFonts w:ascii="Times New Roman" w:eastAsia="Times New Roman" w:hAnsi="Times New Roman" w:cs="Times New Roman"/>
          <w:kern w:val="0"/>
          <w14:ligatures w14:val="none"/>
        </w:rPr>
      </w:pPr>
    </w:p>
    <w:p w14:paraId="7680F237" w14:textId="77777777" w:rsidR="007F7BD7" w:rsidRPr="00D52A49" w:rsidRDefault="007F7BD7" w:rsidP="0051175C">
      <w:pPr>
        <w:spacing w:after="0" w:line="240" w:lineRule="auto"/>
        <w:jc w:val="center"/>
        <w:outlineLvl w:val="1"/>
        <w:rPr>
          <w:rFonts w:ascii="Times New Roman" w:eastAsia="Times New Roman" w:hAnsi="Times New Roman" w:cs="Times New Roman"/>
          <w:kern w:val="0"/>
          <w14:ligatures w14:val="none"/>
        </w:rPr>
      </w:pPr>
    </w:p>
    <w:p w14:paraId="20EF656A" w14:textId="1B124809" w:rsidR="005C7E61" w:rsidRDefault="005C7E61" w:rsidP="0051175C">
      <w:pPr>
        <w:spacing w:after="0" w:line="240" w:lineRule="auto"/>
        <w:jc w:val="center"/>
        <w:outlineLvl w:val="1"/>
        <w:rPr>
          <w:rFonts w:ascii="Times New Roman" w:eastAsia="Times New Roman" w:hAnsi="Times New Roman" w:cs="Times New Roman"/>
          <w:i/>
          <w:iCs/>
          <w:kern w:val="0"/>
          <w:sz w:val="20"/>
          <w:szCs w:val="20"/>
          <w14:ligatures w14:val="none"/>
        </w:rPr>
      </w:pPr>
      <w:r w:rsidRPr="005C7E61">
        <w:rPr>
          <w:rFonts w:ascii="Times New Roman" w:eastAsia="Times New Roman" w:hAnsi="Times New Roman" w:cs="Times New Roman"/>
          <w:i/>
          <w:iCs/>
          <w:kern w:val="0"/>
          <w:sz w:val="20"/>
          <w:szCs w:val="20"/>
          <w:vertAlign w:val="superscript"/>
          <w14:ligatures w14:val="none"/>
        </w:rPr>
        <w:t>1</w:t>
      </w:r>
      <w:r w:rsidR="00EC49E6" w:rsidRPr="005C7E61">
        <w:rPr>
          <w:rFonts w:ascii="Times New Roman" w:eastAsia="Times New Roman" w:hAnsi="Times New Roman" w:cs="Times New Roman"/>
          <w:i/>
          <w:iCs/>
          <w:kern w:val="0"/>
          <w:sz w:val="20"/>
          <w:szCs w:val="20"/>
          <w14:ligatures w14:val="none"/>
        </w:rPr>
        <w:t xml:space="preserve">Department of Language and Communication, Centre for Fundamental and Continuing Education, </w:t>
      </w:r>
    </w:p>
    <w:p w14:paraId="3D8D7A59" w14:textId="779B6E9D" w:rsidR="005C7E61" w:rsidRDefault="00EC49E6" w:rsidP="0051175C">
      <w:pPr>
        <w:spacing w:after="0" w:line="240" w:lineRule="auto"/>
        <w:jc w:val="center"/>
        <w:outlineLvl w:val="1"/>
        <w:rPr>
          <w:rFonts w:ascii="Times New Roman" w:eastAsia="Times New Roman" w:hAnsi="Times New Roman" w:cs="Times New Roman"/>
          <w:i/>
          <w:iCs/>
          <w:kern w:val="0"/>
          <w:sz w:val="20"/>
          <w:szCs w:val="20"/>
          <w14:ligatures w14:val="none"/>
        </w:rPr>
      </w:pPr>
      <w:r w:rsidRPr="005C7E61">
        <w:rPr>
          <w:rFonts w:ascii="Times New Roman" w:eastAsia="Times New Roman" w:hAnsi="Times New Roman" w:cs="Times New Roman"/>
          <w:i/>
          <w:iCs/>
          <w:kern w:val="0"/>
          <w:sz w:val="20"/>
          <w:szCs w:val="20"/>
          <w14:ligatures w14:val="none"/>
        </w:rPr>
        <w:t>Universiti Malaysia Terengganu</w:t>
      </w:r>
      <w:r w:rsidR="00537EA6" w:rsidRPr="005C7E61">
        <w:rPr>
          <w:rFonts w:ascii="Times New Roman" w:eastAsia="Times New Roman" w:hAnsi="Times New Roman" w:cs="Times New Roman"/>
          <w:i/>
          <w:iCs/>
          <w:kern w:val="0"/>
          <w:sz w:val="20"/>
          <w:szCs w:val="20"/>
          <w14:ligatures w14:val="none"/>
        </w:rPr>
        <w:t xml:space="preserve">.                                                                               </w:t>
      </w:r>
      <w:r w:rsidRPr="005C7E61">
        <w:rPr>
          <w:rFonts w:ascii="Times New Roman" w:eastAsia="Times New Roman" w:hAnsi="Times New Roman" w:cs="Times New Roman"/>
          <w:i/>
          <w:iCs/>
          <w:kern w:val="0"/>
          <w:sz w:val="20"/>
          <w:szCs w:val="20"/>
          <w14:ligatures w14:val="none"/>
        </w:rPr>
        <w:t xml:space="preserve"> </w:t>
      </w:r>
    </w:p>
    <w:p w14:paraId="32CAA5E9" w14:textId="6E1E698D" w:rsidR="00EC49E6" w:rsidRDefault="005C7E61" w:rsidP="0051175C">
      <w:pPr>
        <w:spacing w:after="0" w:line="240" w:lineRule="auto"/>
        <w:jc w:val="center"/>
        <w:outlineLvl w:val="1"/>
        <w:rPr>
          <w:rFonts w:ascii="Times New Roman" w:eastAsia="Times New Roman" w:hAnsi="Times New Roman" w:cs="Times New Roman"/>
          <w:i/>
          <w:iCs/>
          <w:kern w:val="0"/>
          <w:sz w:val="20"/>
          <w:szCs w:val="20"/>
          <w14:ligatures w14:val="none"/>
        </w:rPr>
      </w:pPr>
      <w:r w:rsidRPr="005C7E61">
        <w:rPr>
          <w:rFonts w:ascii="Times New Roman" w:eastAsia="Times New Roman" w:hAnsi="Times New Roman" w:cs="Times New Roman"/>
          <w:i/>
          <w:iCs/>
          <w:kern w:val="0"/>
          <w:sz w:val="20"/>
          <w:szCs w:val="20"/>
          <w:vertAlign w:val="superscript"/>
          <w14:ligatures w14:val="none"/>
        </w:rPr>
        <w:t>*</w:t>
      </w:r>
      <w:r w:rsidR="00EC49E6" w:rsidRPr="005C7E61">
        <w:rPr>
          <w:rFonts w:ascii="Times New Roman" w:eastAsia="Times New Roman" w:hAnsi="Times New Roman" w:cs="Times New Roman"/>
          <w:i/>
          <w:iCs/>
          <w:kern w:val="0"/>
          <w:sz w:val="20"/>
          <w:szCs w:val="20"/>
          <w14:ligatures w14:val="none"/>
        </w:rPr>
        <w:t xml:space="preserve">Corresponding author: </w:t>
      </w:r>
      <w:hyperlink r:id="rId7" w:history="1">
        <w:r w:rsidR="001572F5" w:rsidRPr="001572F5">
          <w:rPr>
            <w:rStyle w:val="Hyperlink"/>
            <w:rFonts w:ascii="Times New Roman" w:eastAsia="Times New Roman" w:hAnsi="Times New Roman" w:cs="Times New Roman"/>
            <w:i/>
            <w:iCs/>
            <w:color w:val="auto"/>
            <w:kern w:val="0"/>
            <w:sz w:val="20"/>
            <w:szCs w:val="20"/>
            <w:u w:val="none"/>
            <w14:ligatures w14:val="none"/>
          </w:rPr>
          <w:t>nabihah.rahman@umt.edu.my</w:t>
        </w:r>
      </w:hyperlink>
    </w:p>
    <w:p w14:paraId="604F293C" w14:textId="77777777" w:rsidR="001572F5" w:rsidRDefault="001572F5" w:rsidP="0051175C">
      <w:pPr>
        <w:spacing w:after="0" w:line="240" w:lineRule="auto"/>
        <w:jc w:val="center"/>
        <w:outlineLvl w:val="1"/>
        <w:rPr>
          <w:rFonts w:ascii="Times New Roman" w:eastAsia="Times New Roman" w:hAnsi="Times New Roman" w:cs="Times New Roman"/>
          <w:i/>
          <w:iCs/>
          <w:kern w:val="0"/>
          <w:sz w:val="20"/>
          <w:szCs w:val="20"/>
          <w14:ligatures w14:val="none"/>
        </w:rPr>
      </w:pPr>
    </w:p>
    <w:p w14:paraId="420E2812" w14:textId="77777777" w:rsidR="001572F5" w:rsidRDefault="001572F5" w:rsidP="0051175C">
      <w:pPr>
        <w:spacing w:after="0" w:line="240" w:lineRule="auto"/>
        <w:jc w:val="center"/>
        <w:outlineLvl w:val="1"/>
        <w:rPr>
          <w:rFonts w:ascii="Times New Roman" w:eastAsia="Times New Roman" w:hAnsi="Times New Roman" w:cs="Times New Roman"/>
          <w:i/>
          <w:iCs/>
          <w:kern w:val="0"/>
          <w:sz w:val="20"/>
          <w:szCs w:val="20"/>
          <w14:ligatures w14:val="none"/>
        </w:rPr>
      </w:pPr>
    </w:p>
    <w:p w14:paraId="0FEF50B8" w14:textId="32A9E34C" w:rsidR="001572F5" w:rsidRPr="006242D1" w:rsidRDefault="001572F5" w:rsidP="001572F5">
      <w:pPr>
        <w:spacing w:after="0" w:line="240" w:lineRule="auto"/>
        <w:jc w:val="center"/>
        <w:rPr>
          <w:rFonts w:ascii="Times New Roman" w:hAnsi="Times New Roman" w:cs="Times New Roman"/>
          <w:i/>
          <w:iCs/>
          <w:sz w:val="20"/>
          <w:szCs w:val="20"/>
        </w:rPr>
      </w:pPr>
      <w:proofErr w:type="spellStart"/>
      <w:r w:rsidRPr="00A741F6">
        <w:rPr>
          <w:rFonts w:ascii="Times New Roman" w:hAnsi="Times New Roman" w:cs="Times New Roman"/>
          <w:i/>
          <w:iCs/>
          <w:sz w:val="20"/>
          <w:szCs w:val="20"/>
        </w:rPr>
        <w:t>Dihantar</w:t>
      </w:r>
      <w:proofErr w:type="spellEnd"/>
      <w:r w:rsidRPr="00A741F6">
        <w:rPr>
          <w:rFonts w:ascii="Times New Roman" w:hAnsi="Times New Roman" w:cs="Times New Roman"/>
          <w:i/>
          <w:iCs/>
          <w:sz w:val="20"/>
          <w:szCs w:val="20"/>
        </w:rPr>
        <w:t xml:space="preserve">/Received: </w:t>
      </w:r>
      <w:r w:rsidR="00DC3C4A">
        <w:rPr>
          <w:rFonts w:ascii="Times New Roman" w:hAnsi="Times New Roman" w:cs="Times New Roman"/>
          <w:i/>
          <w:iCs/>
          <w:sz w:val="20"/>
          <w:szCs w:val="20"/>
        </w:rPr>
        <w:t>26</w:t>
      </w:r>
      <w:r w:rsidRPr="00A741F6">
        <w:rPr>
          <w:rFonts w:ascii="Times New Roman" w:hAnsi="Times New Roman" w:cs="Times New Roman"/>
          <w:i/>
          <w:iCs/>
          <w:sz w:val="20"/>
          <w:szCs w:val="20"/>
        </w:rPr>
        <w:t xml:space="preserve"> </w:t>
      </w:r>
      <w:r w:rsidR="00DC3C4A">
        <w:rPr>
          <w:rFonts w:ascii="Times New Roman" w:hAnsi="Times New Roman" w:cs="Times New Roman"/>
          <w:i/>
          <w:iCs/>
          <w:sz w:val="20"/>
          <w:szCs w:val="20"/>
        </w:rPr>
        <w:t>January</w:t>
      </w:r>
      <w:r w:rsidRPr="00A741F6">
        <w:rPr>
          <w:rFonts w:ascii="Times New Roman" w:hAnsi="Times New Roman" w:cs="Times New Roman"/>
          <w:i/>
          <w:iCs/>
          <w:sz w:val="20"/>
          <w:szCs w:val="20"/>
        </w:rPr>
        <w:t xml:space="preserve"> 202</w:t>
      </w:r>
      <w:r w:rsidR="00DC3C4A">
        <w:rPr>
          <w:rFonts w:ascii="Times New Roman" w:hAnsi="Times New Roman" w:cs="Times New Roman"/>
          <w:i/>
          <w:iCs/>
          <w:sz w:val="20"/>
          <w:szCs w:val="20"/>
        </w:rPr>
        <w:t>6</w:t>
      </w:r>
      <w:r w:rsidRPr="00A741F6">
        <w:rPr>
          <w:rFonts w:ascii="Times New Roman" w:hAnsi="Times New Roman" w:cs="Times New Roman"/>
          <w:i/>
          <w:iCs/>
          <w:sz w:val="20"/>
          <w:szCs w:val="20"/>
        </w:rPr>
        <w:t xml:space="preserve"> | </w:t>
      </w:r>
      <w:proofErr w:type="spellStart"/>
      <w:r w:rsidRPr="00A741F6">
        <w:rPr>
          <w:rFonts w:ascii="Times New Roman" w:hAnsi="Times New Roman" w:cs="Times New Roman"/>
          <w:i/>
          <w:iCs/>
          <w:sz w:val="20"/>
          <w:szCs w:val="20"/>
        </w:rPr>
        <w:t>Penambahbaikan</w:t>
      </w:r>
      <w:proofErr w:type="spellEnd"/>
      <w:r w:rsidRPr="00A741F6">
        <w:rPr>
          <w:rFonts w:ascii="Times New Roman" w:hAnsi="Times New Roman" w:cs="Times New Roman"/>
          <w:i/>
          <w:iCs/>
          <w:sz w:val="20"/>
          <w:szCs w:val="20"/>
        </w:rPr>
        <w:t xml:space="preserve">/Revised: </w:t>
      </w:r>
      <w:r w:rsidR="00B249A9">
        <w:rPr>
          <w:rFonts w:ascii="Times New Roman" w:hAnsi="Times New Roman" w:cs="Times New Roman"/>
          <w:i/>
          <w:iCs/>
          <w:sz w:val="20"/>
          <w:szCs w:val="20"/>
        </w:rPr>
        <w:t>26</w:t>
      </w:r>
      <w:r>
        <w:rPr>
          <w:rFonts w:ascii="Times New Roman" w:hAnsi="Times New Roman" w:cs="Times New Roman"/>
          <w:i/>
          <w:iCs/>
          <w:sz w:val="20"/>
          <w:szCs w:val="20"/>
        </w:rPr>
        <w:t xml:space="preserve"> </w:t>
      </w:r>
      <w:r w:rsidR="00B249A9">
        <w:rPr>
          <w:rFonts w:ascii="Times New Roman" w:hAnsi="Times New Roman" w:cs="Times New Roman"/>
          <w:i/>
          <w:iCs/>
          <w:sz w:val="20"/>
          <w:szCs w:val="20"/>
        </w:rPr>
        <w:t>March</w:t>
      </w:r>
      <w:r>
        <w:rPr>
          <w:rFonts w:ascii="Times New Roman" w:hAnsi="Times New Roman" w:cs="Times New Roman"/>
          <w:i/>
          <w:iCs/>
          <w:sz w:val="20"/>
          <w:szCs w:val="20"/>
        </w:rPr>
        <w:t xml:space="preserve"> 202</w:t>
      </w:r>
      <w:r w:rsidR="00B249A9">
        <w:rPr>
          <w:rFonts w:ascii="Times New Roman" w:hAnsi="Times New Roman" w:cs="Times New Roman"/>
          <w:i/>
          <w:iCs/>
          <w:sz w:val="20"/>
          <w:szCs w:val="20"/>
        </w:rPr>
        <w:t>6</w:t>
      </w:r>
      <w:r w:rsidRPr="00A741F6">
        <w:rPr>
          <w:rFonts w:ascii="Times New Roman" w:hAnsi="Times New Roman" w:cs="Times New Roman"/>
          <w:i/>
          <w:iCs/>
          <w:sz w:val="20"/>
          <w:szCs w:val="20"/>
        </w:rPr>
        <w:t xml:space="preserve"> </w:t>
      </w:r>
      <w:proofErr w:type="spellStart"/>
      <w:r w:rsidRPr="00A741F6">
        <w:rPr>
          <w:rFonts w:ascii="Times New Roman" w:hAnsi="Times New Roman" w:cs="Times New Roman"/>
          <w:i/>
          <w:iCs/>
          <w:sz w:val="20"/>
          <w:szCs w:val="20"/>
        </w:rPr>
        <w:t>Diterima</w:t>
      </w:r>
      <w:proofErr w:type="spellEnd"/>
      <w:r w:rsidRPr="00A741F6">
        <w:rPr>
          <w:rFonts w:ascii="Times New Roman" w:hAnsi="Times New Roman" w:cs="Times New Roman"/>
          <w:i/>
          <w:iCs/>
          <w:sz w:val="20"/>
          <w:szCs w:val="20"/>
        </w:rPr>
        <w:t xml:space="preserve">/Accepted: </w:t>
      </w:r>
      <w:r>
        <w:rPr>
          <w:rFonts w:ascii="Times New Roman" w:hAnsi="Times New Roman" w:cs="Times New Roman"/>
          <w:i/>
          <w:iCs/>
          <w:sz w:val="20"/>
          <w:szCs w:val="20"/>
        </w:rPr>
        <w:t>2</w:t>
      </w:r>
      <w:r w:rsidR="007931AF">
        <w:rPr>
          <w:rFonts w:ascii="Times New Roman" w:hAnsi="Times New Roman" w:cs="Times New Roman"/>
          <w:i/>
          <w:iCs/>
          <w:sz w:val="20"/>
          <w:szCs w:val="20"/>
        </w:rPr>
        <w:t>7</w:t>
      </w:r>
      <w:r>
        <w:rPr>
          <w:rFonts w:ascii="Times New Roman" w:hAnsi="Times New Roman" w:cs="Times New Roman"/>
          <w:i/>
          <w:iCs/>
          <w:sz w:val="20"/>
          <w:szCs w:val="20"/>
        </w:rPr>
        <w:t xml:space="preserve"> </w:t>
      </w:r>
      <w:r w:rsidR="007931AF">
        <w:rPr>
          <w:rFonts w:ascii="Times New Roman" w:hAnsi="Times New Roman" w:cs="Times New Roman"/>
          <w:i/>
          <w:iCs/>
          <w:sz w:val="20"/>
          <w:szCs w:val="20"/>
        </w:rPr>
        <w:t>April</w:t>
      </w:r>
      <w:r>
        <w:rPr>
          <w:rFonts w:ascii="Times New Roman" w:hAnsi="Times New Roman" w:cs="Times New Roman"/>
          <w:i/>
          <w:iCs/>
          <w:sz w:val="20"/>
          <w:szCs w:val="20"/>
        </w:rPr>
        <w:t xml:space="preserve"> 202</w:t>
      </w:r>
      <w:r w:rsidR="007931AF">
        <w:rPr>
          <w:rFonts w:ascii="Times New Roman" w:hAnsi="Times New Roman" w:cs="Times New Roman"/>
          <w:i/>
          <w:iCs/>
          <w:sz w:val="20"/>
          <w:szCs w:val="20"/>
        </w:rPr>
        <w:t>6</w:t>
      </w:r>
      <w:r w:rsidRPr="00A741F6">
        <w:rPr>
          <w:rFonts w:ascii="Times New Roman" w:hAnsi="Times New Roman" w:cs="Times New Roman"/>
          <w:i/>
          <w:iCs/>
          <w:sz w:val="20"/>
          <w:szCs w:val="20"/>
        </w:rPr>
        <w:t xml:space="preserve"> | </w:t>
      </w:r>
      <w:proofErr w:type="spellStart"/>
      <w:r w:rsidRPr="00A741F6">
        <w:rPr>
          <w:rFonts w:ascii="Times New Roman" w:hAnsi="Times New Roman" w:cs="Times New Roman"/>
          <w:i/>
          <w:iCs/>
          <w:sz w:val="20"/>
          <w:szCs w:val="20"/>
        </w:rPr>
        <w:t>Terbit</w:t>
      </w:r>
      <w:proofErr w:type="spellEnd"/>
      <w:r w:rsidRPr="00A741F6">
        <w:rPr>
          <w:rFonts w:ascii="Times New Roman" w:hAnsi="Times New Roman" w:cs="Times New Roman"/>
          <w:i/>
          <w:iCs/>
          <w:sz w:val="20"/>
          <w:szCs w:val="20"/>
        </w:rPr>
        <w:t xml:space="preserve">/Published: </w:t>
      </w:r>
      <w:r w:rsidR="007931AF">
        <w:rPr>
          <w:rFonts w:ascii="Times New Roman" w:hAnsi="Times New Roman" w:cs="Times New Roman"/>
          <w:i/>
          <w:iCs/>
          <w:sz w:val="20"/>
          <w:szCs w:val="20"/>
        </w:rPr>
        <w:t>1 September</w:t>
      </w:r>
      <w:r w:rsidRPr="006242D1">
        <w:rPr>
          <w:rFonts w:ascii="Times New Roman" w:hAnsi="Times New Roman" w:cs="Times New Roman"/>
          <w:i/>
          <w:iCs/>
          <w:sz w:val="20"/>
          <w:szCs w:val="20"/>
        </w:rPr>
        <w:t xml:space="preserve"> 2026 </w:t>
      </w:r>
    </w:p>
    <w:p w14:paraId="64A4FC23" w14:textId="6A83C832" w:rsidR="001572F5" w:rsidRDefault="001572F5" w:rsidP="001572F5">
      <w:pPr>
        <w:spacing w:after="0" w:line="240" w:lineRule="auto"/>
        <w:jc w:val="center"/>
        <w:outlineLvl w:val="1"/>
        <w:rPr>
          <w:rFonts w:ascii="Times New Roman" w:hAnsi="Times New Roman" w:cs="Times New Roman"/>
          <w:i/>
          <w:iCs/>
          <w:sz w:val="20"/>
          <w:szCs w:val="20"/>
        </w:rPr>
      </w:pPr>
      <w:r w:rsidRPr="006242D1">
        <w:rPr>
          <w:rFonts w:ascii="Times New Roman" w:hAnsi="Times New Roman" w:cs="Times New Roman"/>
          <w:i/>
          <w:iCs/>
          <w:sz w:val="20"/>
          <w:szCs w:val="20"/>
        </w:rPr>
        <w:t>DOI</w:t>
      </w:r>
      <w:r w:rsidRPr="008030CD">
        <w:rPr>
          <w:rFonts w:ascii="Times New Roman" w:hAnsi="Times New Roman" w:cs="Times New Roman"/>
          <w:i/>
          <w:iCs/>
          <w:sz w:val="20"/>
          <w:szCs w:val="20"/>
        </w:rPr>
        <w:t>:</w:t>
      </w:r>
      <w:r w:rsidR="00B71A12" w:rsidRPr="008030CD">
        <w:rPr>
          <w:rFonts w:ascii="Times New Roman" w:hAnsi="Times New Roman" w:cs="Times New Roman"/>
          <w:i/>
          <w:iCs/>
          <w:sz w:val="20"/>
          <w:szCs w:val="20"/>
        </w:rPr>
        <w:t xml:space="preserve"> </w:t>
      </w:r>
      <w:hyperlink r:id="rId8" w:history="1">
        <w:r w:rsidR="008030CD" w:rsidRPr="008030CD">
          <w:rPr>
            <w:rStyle w:val="Hyperlink"/>
            <w:rFonts w:ascii="Times New Roman" w:eastAsia="Calibri" w:hAnsi="Times New Roman" w:cs="Times New Roman"/>
            <w:i/>
            <w:iCs/>
            <w:color w:val="auto"/>
            <w:sz w:val="20"/>
            <w:szCs w:val="20"/>
            <w:u w:val="none"/>
          </w:rPr>
          <w:t>https://doi.org/10.51200/manu.v37i1.</w:t>
        </w:r>
        <w:r w:rsidR="008030CD" w:rsidRPr="008030CD">
          <w:rPr>
            <w:rStyle w:val="Hyperlink"/>
            <w:rFonts w:ascii="Times New Roman" w:eastAsia="Calibri" w:hAnsi="Times New Roman" w:cs="Times New Roman"/>
            <w:i/>
            <w:iCs/>
            <w:color w:val="auto"/>
            <w:sz w:val="20"/>
            <w:szCs w:val="20"/>
            <w:u w:val="none"/>
          </w:rPr>
          <w:t>7321</w:t>
        </w:r>
      </w:hyperlink>
    </w:p>
    <w:p w14:paraId="5EBEDE29" w14:textId="77777777" w:rsidR="00913EEC" w:rsidRDefault="00913EEC" w:rsidP="001572F5">
      <w:pPr>
        <w:spacing w:after="0" w:line="240" w:lineRule="auto"/>
        <w:jc w:val="center"/>
        <w:outlineLvl w:val="1"/>
        <w:rPr>
          <w:rFonts w:ascii="Times New Roman" w:hAnsi="Times New Roman" w:cs="Times New Roman"/>
          <w:i/>
          <w:iCs/>
        </w:rPr>
      </w:pPr>
    </w:p>
    <w:p w14:paraId="379E9741" w14:textId="77777777" w:rsidR="00913EEC" w:rsidRPr="00913EEC" w:rsidRDefault="00913EEC" w:rsidP="001572F5">
      <w:pPr>
        <w:spacing w:after="0" w:line="240" w:lineRule="auto"/>
        <w:jc w:val="center"/>
        <w:outlineLvl w:val="1"/>
        <w:rPr>
          <w:rFonts w:ascii="Times New Roman" w:eastAsia="Times New Roman" w:hAnsi="Times New Roman" w:cs="Times New Roman"/>
          <w:i/>
          <w:iCs/>
          <w:kern w:val="0"/>
          <w14:ligatures w14:val="none"/>
        </w:rPr>
      </w:pPr>
    </w:p>
    <w:p w14:paraId="74EB1A5D" w14:textId="13B958D3" w:rsidR="003A254A" w:rsidRPr="00D52A49" w:rsidRDefault="003A254A" w:rsidP="0051175C">
      <w:pPr>
        <w:spacing w:after="0" w:line="240" w:lineRule="auto"/>
        <w:jc w:val="both"/>
        <w:outlineLvl w:val="1"/>
        <w:rPr>
          <w:rFonts w:ascii="Times New Roman" w:eastAsia="Times New Roman" w:hAnsi="Times New Roman" w:cs="Times New Roman"/>
          <w:i/>
          <w:iCs/>
          <w:kern w:val="0"/>
          <w14:ligatures w14:val="none"/>
        </w:rPr>
      </w:pPr>
      <w:r w:rsidRPr="00D52A49">
        <w:rPr>
          <w:rFonts w:ascii="Times New Roman" w:eastAsia="Times New Roman" w:hAnsi="Times New Roman" w:cs="Times New Roman"/>
          <w:b/>
          <w:bCs/>
          <w:i/>
          <w:iCs/>
          <w:kern w:val="0"/>
          <w14:ligatures w14:val="none"/>
        </w:rPr>
        <w:t xml:space="preserve">Abstract </w:t>
      </w:r>
      <w:r w:rsidR="00BC7AD9" w:rsidRPr="00D52A49">
        <w:rPr>
          <w:rFonts w:ascii="Times New Roman" w:eastAsia="Times New Roman" w:hAnsi="Times New Roman" w:cs="Times New Roman"/>
          <w:i/>
          <w:iCs/>
          <w:kern w:val="0"/>
          <w14:ligatures w14:val="none"/>
        </w:rPr>
        <w:t xml:space="preserve">China’s economic development has contributed to growing global interest in learning Chinese. In Malaysia, strong diplomatic and economic ties with China have further increased demand for Chinese as a Foreign Language (CFL). Despite this demand, many non-native learners continue to face challenges in developing communicative competence due to pedagogical and contextual factors. This study examines beginner-level Malaysian CFL learners’ perceptions of the Production-Oriented Approach (POA) in a higher education context. Data were collected from 140 undergraduates enrolled in a 14-week </w:t>
      </w:r>
      <w:r w:rsidR="00993B0D" w:rsidRPr="00D52A49">
        <w:rPr>
          <w:rFonts w:ascii="Times New Roman" w:eastAsia="Times New Roman" w:hAnsi="Times New Roman" w:cs="Times New Roman"/>
          <w:i/>
          <w:iCs/>
          <w:kern w:val="0"/>
          <w14:ligatures w14:val="none"/>
        </w:rPr>
        <w:t>beginner</w:t>
      </w:r>
      <w:r w:rsidR="00F1391D" w:rsidRPr="00D52A49">
        <w:rPr>
          <w:rFonts w:ascii="Times New Roman" w:eastAsia="Times New Roman" w:hAnsi="Times New Roman" w:cs="Times New Roman"/>
          <w:i/>
          <w:iCs/>
          <w:kern w:val="0"/>
          <w14:ligatures w14:val="none"/>
        </w:rPr>
        <w:t>-level</w:t>
      </w:r>
      <w:r w:rsidR="00BC7AD9" w:rsidRPr="00D52A49">
        <w:rPr>
          <w:rFonts w:ascii="Times New Roman" w:eastAsia="Times New Roman" w:hAnsi="Times New Roman" w:cs="Times New Roman"/>
          <w:i/>
          <w:iCs/>
          <w:kern w:val="0"/>
          <w14:ligatures w14:val="none"/>
        </w:rPr>
        <w:t xml:space="preserve"> CFL course using a questionnaire that explored perceptions of language proficiency and learning processes. The findings reveal a differentiated pattern of perceived development, with stronger perceived improvement in reading, writing, translation and sentence construction, and comparatively lower perceived development in speaking and listening. This suggests that POA may be more effective in supporting structured and output-oriented language use, while oral skills may require more sustained interaction and exposure. In addition, learners reported positive perceptions of vocabulary development, knowledge application, motivation and engagement, indicating a close relationship between language learning and active learning </w:t>
      </w:r>
      <w:r w:rsidR="00F36761" w:rsidRPr="00D52A49">
        <w:rPr>
          <w:rFonts w:ascii="Times New Roman" w:eastAsia="Times New Roman" w:hAnsi="Times New Roman" w:cs="Times New Roman"/>
          <w:i/>
          <w:iCs/>
          <w:kern w:val="0"/>
          <w14:ligatures w14:val="none"/>
        </w:rPr>
        <w:t>processes. Overall</w:t>
      </w:r>
      <w:r w:rsidR="00BC7AD9" w:rsidRPr="00D52A49">
        <w:rPr>
          <w:rFonts w:ascii="Times New Roman" w:eastAsia="Times New Roman" w:hAnsi="Times New Roman" w:cs="Times New Roman"/>
          <w:i/>
          <w:iCs/>
          <w:kern w:val="0"/>
          <w14:ligatures w14:val="none"/>
        </w:rPr>
        <w:t>, the study suggests that POA is perceived as a supportive and engaging instructional approach in beginner-level CFL classrooms. However, its perceived effectiveness appears to vary across language skills, highlighting the importance of balancing structured output with opportunities for interactive and communicative practice. By providing evidence from a Malaysian CFL context and focusing on beginner-level learners, this study contributes to a more context-sensitive understanding of how POA is experienced in classroom practice.</w:t>
      </w:r>
    </w:p>
    <w:p w14:paraId="3C8319B4" w14:textId="77777777" w:rsidR="00A16885" w:rsidRDefault="00A16885" w:rsidP="0051175C">
      <w:pPr>
        <w:spacing w:after="0" w:line="240" w:lineRule="auto"/>
        <w:jc w:val="both"/>
        <w:rPr>
          <w:rFonts w:ascii="Times New Roman" w:eastAsia="Times New Roman" w:hAnsi="Times New Roman" w:cs="Times New Roman"/>
          <w:b/>
          <w:bCs/>
          <w:i/>
          <w:iCs/>
          <w:kern w:val="0"/>
          <w14:ligatures w14:val="none"/>
        </w:rPr>
      </w:pPr>
    </w:p>
    <w:p w14:paraId="7A5F69C7" w14:textId="790FEA8D" w:rsidR="003A254A"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b/>
          <w:bCs/>
          <w:i/>
          <w:iCs/>
          <w:kern w:val="0"/>
          <w14:ligatures w14:val="none"/>
        </w:rPr>
        <w:t>Keywords:</w:t>
      </w:r>
      <w:r w:rsidRPr="00D52A49">
        <w:rPr>
          <w:rFonts w:ascii="Times New Roman" w:eastAsia="Times New Roman" w:hAnsi="Times New Roman" w:cs="Times New Roman"/>
          <w:i/>
          <w:iCs/>
          <w:kern w:val="0"/>
          <w14:ligatures w14:val="none"/>
        </w:rPr>
        <w:t xml:space="preserve"> Production-Oriented Approach (POA), Chinese as a Foreign Language (CFL), beginner-level learners</w:t>
      </w:r>
    </w:p>
    <w:p w14:paraId="7262A002" w14:textId="77777777" w:rsidR="00CE2694" w:rsidRDefault="00CE2694" w:rsidP="0051175C">
      <w:pPr>
        <w:spacing w:after="0" w:line="240" w:lineRule="auto"/>
        <w:jc w:val="both"/>
        <w:rPr>
          <w:rFonts w:ascii="Times New Roman" w:eastAsia="Times New Roman" w:hAnsi="Times New Roman" w:cs="Times New Roman"/>
          <w:kern w:val="0"/>
          <w14:ligatures w14:val="none"/>
        </w:rPr>
      </w:pPr>
    </w:p>
    <w:p w14:paraId="645340DE" w14:textId="77777777" w:rsidR="00CE2694" w:rsidRDefault="00CE2694" w:rsidP="0051175C">
      <w:pPr>
        <w:spacing w:after="0" w:line="240" w:lineRule="auto"/>
        <w:jc w:val="both"/>
        <w:rPr>
          <w:rFonts w:ascii="Times New Roman" w:eastAsia="Times New Roman" w:hAnsi="Times New Roman" w:cs="Times New Roman"/>
          <w:kern w:val="0"/>
          <w14:ligatures w14:val="none"/>
        </w:rPr>
      </w:pPr>
    </w:p>
    <w:p w14:paraId="53B19C60" w14:textId="77777777" w:rsidR="00CE2694" w:rsidRDefault="00CE2694" w:rsidP="0051175C">
      <w:pPr>
        <w:spacing w:after="0" w:line="240" w:lineRule="auto"/>
        <w:jc w:val="both"/>
        <w:rPr>
          <w:rFonts w:ascii="Times New Roman" w:eastAsia="Times New Roman" w:hAnsi="Times New Roman" w:cs="Times New Roman"/>
          <w:kern w:val="0"/>
          <w14:ligatures w14:val="none"/>
        </w:rPr>
      </w:pPr>
    </w:p>
    <w:p w14:paraId="3CBC41D0" w14:textId="77777777" w:rsidR="00CE2694" w:rsidRDefault="00CE2694" w:rsidP="0051175C">
      <w:pPr>
        <w:spacing w:after="0" w:line="240" w:lineRule="auto"/>
        <w:jc w:val="both"/>
        <w:rPr>
          <w:rFonts w:ascii="Times New Roman" w:eastAsia="Times New Roman" w:hAnsi="Times New Roman" w:cs="Times New Roman"/>
          <w:kern w:val="0"/>
          <w14:ligatures w14:val="none"/>
        </w:rPr>
      </w:pPr>
    </w:p>
    <w:p w14:paraId="2C81C827" w14:textId="77777777" w:rsidR="00CE2694" w:rsidRDefault="00CE2694" w:rsidP="0051175C">
      <w:pPr>
        <w:spacing w:after="0" w:line="240" w:lineRule="auto"/>
        <w:jc w:val="both"/>
        <w:rPr>
          <w:rFonts w:ascii="Times New Roman" w:eastAsia="Times New Roman" w:hAnsi="Times New Roman" w:cs="Times New Roman"/>
          <w:kern w:val="0"/>
          <w14:ligatures w14:val="none"/>
        </w:rPr>
      </w:pPr>
    </w:p>
    <w:p w14:paraId="2F57192A" w14:textId="274F541F" w:rsidR="00CE2694" w:rsidRPr="002B1D24" w:rsidRDefault="00CE2694" w:rsidP="00CE2694">
      <w:pPr>
        <w:spacing w:after="0" w:line="240" w:lineRule="auto"/>
        <w:jc w:val="both"/>
        <w:rPr>
          <w:rFonts w:ascii="Times New Roman" w:eastAsia="Times New Roman" w:hAnsi="Times New Roman" w:cs="Times New Roman"/>
          <w:kern w:val="0"/>
          <w:lang w:val="ms-MY"/>
          <w14:ligatures w14:val="none"/>
        </w:rPr>
      </w:pPr>
      <w:r w:rsidRPr="002B1D24">
        <w:rPr>
          <w:rFonts w:ascii="Times New Roman" w:eastAsia="Times New Roman" w:hAnsi="Times New Roman" w:cs="Times New Roman"/>
          <w:b/>
          <w:bCs/>
          <w:kern w:val="0"/>
          <w:lang w:val="ms-MY"/>
          <w14:ligatures w14:val="none"/>
        </w:rPr>
        <w:lastRenderedPageBreak/>
        <w:t>Abstrak</w:t>
      </w:r>
      <w:r w:rsidRPr="002B1D24">
        <w:rPr>
          <w:rFonts w:ascii="Times New Roman" w:eastAsia="Times New Roman" w:hAnsi="Times New Roman" w:cs="Times New Roman"/>
          <w:kern w:val="0"/>
          <w:lang w:val="ms-MY"/>
          <w14:ligatures w14:val="none"/>
        </w:rPr>
        <w:t xml:space="preserve"> Pembangunan ekonomi China telah menyumbang kepada peningkatan minat global untuk mempelajari bahasa Cina. Di Malaysia, hubungan diplomatik dan ekonomi yang kukuh dengan China telah meningkatkan lagi permintaan terhadap Bahasa Cina sebagai Bahasa Asing (CFL). Walaupun terdapat permintaan ini, ramai </w:t>
      </w:r>
      <w:r w:rsidR="003C7CDD">
        <w:rPr>
          <w:rFonts w:ascii="Times New Roman" w:eastAsia="Times New Roman" w:hAnsi="Times New Roman" w:cs="Times New Roman"/>
          <w:kern w:val="0"/>
          <w:lang w:val="ms-MY"/>
          <w14:ligatures w14:val="none"/>
        </w:rPr>
        <w:t>pelajar</w:t>
      </w:r>
      <w:r w:rsidRPr="002B1D24">
        <w:rPr>
          <w:rFonts w:ascii="Times New Roman" w:eastAsia="Times New Roman" w:hAnsi="Times New Roman" w:cs="Times New Roman"/>
          <w:kern w:val="0"/>
          <w:lang w:val="ms-MY"/>
          <w14:ligatures w14:val="none"/>
        </w:rPr>
        <w:t xml:space="preserve"> bukan penutur </w:t>
      </w:r>
      <w:r w:rsidR="003B1849">
        <w:rPr>
          <w:rFonts w:ascii="Times New Roman" w:eastAsia="Times New Roman" w:hAnsi="Times New Roman" w:cs="Times New Roman"/>
          <w:kern w:val="0"/>
          <w:lang w:val="ms-MY"/>
          <w14:ligatures w14:val="none"/>
        </w:rPr>
        <w:t>asli</w:t>
      </w:r>
      <w:r w:rsidRPr="002B1D24">
        <w:rPr>
          <w:rFonts w:ascii="Times New Roman" w:eastAsia="Times New Roman" w:hAnsi="Times New Roman" w:cs="Times New Roman"/>
          <w:kern w:val="0"/>
          <w:lang w:val="ms-MY"/>
          <w14:ligatures w14:val="none"/>
        </w:rPr>
        <w:t xml:space="preserve"> terus menghadapi cabaran dalam membangunkan kecekapan </w:t>
      </w:r>
      <w:r w:rsidR="003B1849">
        <w:rPr>
          <w:rFonts w:ascii="Times New Roman" w:eastAsia="Times New Roman" w:hAnsi="Times New Roman" w:cs="Times New Roman"/>
          <w:kern w:val="0"/>
          <w:lang w:val="ms-MY"/>
          <w14:ligatures w14:val="none"/>
        </w:rPr>
        <w:t>komunikasi</w:t>
      </w:r>
      <w:r w:rsidRPr="002B1D24">
        <w:rPr>
          <w:rFonts w:ascii="Times New Roman" w:eastAsia="Times New Roman" w:hAnsi="Times New Roman" w:cs="Times New Roman"/>
          <w:kern w:val="0"/>
          <w:lang w:val="ms-MY"/>
          <w14:ligatures w14:val="none"/>
        </w:rPr>
        <w:t xml:space="preserve"> disebabkan oleh faktor pedagogi dan konteks. Kajian ini meneliti persepsi </w:t>
      </w:r>
      <w:r w:rsidR="00454F41">
        <w:rPr>
          <w:rFonts w:ascii="Times New Roman" w:eastAsia="Times New Roman" w:hAnsi="Times New Roman" w:cs="Times New Roman"/>
          <w:kern w:val="0"/>
          <w:lang w:val="ms-MY"/>
          <w14:ligatures w14:val="none"/>
        </w:rPr>
        <w:t>pelajar</w:t>
      </w:r>
      <w:r w:rsidRPr="002B1D24">
        <w:rPr>
          <w:rFonts w:ascii="Times New Roman" w:eastAsia="Times New Roman" w:hAnsi="Times New Roman" w:cs="Times New Roman"/>
          <w:kern w:val="0"/>
          <w:lang w:val="ms-MY"/>
          <w14:ligatures w14:val="none"/>
        </w:rPr>
        <w:t xml:space="preserve"> CFL Malaysia peringkat permulaan terhadap Pendekatan Berorientasikan </w:t>
      </w:r>
      <w:r w:rsidR="00E4365B">
        <w:rPr>
          <w:rFonts w:ascii="Times New Roman" w:eastAsia="Times New Roman" w:hAnsi="Times New Roman" w:cs="Times New Roman"/>
          <w:kern w:val="0"/>
          <w:lang w:val="ms-MY"/>
          <w14:ligatures w14:val="none"/>
        </w:rPr>
        <w:t>Hasil</w:t>
      </w:r>
      <w:r w:rsidRPr="002B1D24">
        <w:rPr>
          <w:rFonts w:ascii="Times New Roman" w:eastAsia="Times New Roman" w:hAnsi="Times New Roman" w:cs="Times New Roman"/>
          <w:kern w:val="0"/>
          <w:lang w:val="ms-MY"/>
          <w14:ligatures w14:val="none"/>
        </w:rPr>
        <w:t xml:space="preserve"> (POA) dalam konteks pengajian tinggi. Data dikumpul daripada 140 pelajar prasiswazah yang mendaftar dalam kursus CFL peringkat permulaan selama 14 minggu menggunakan borang soal selidik yang meneroka persepsi terhadap penguasaan bahasa dan proses pembelajaran. Dapatan kajian menunjukkan corak perkembangan persepsi yang berbeza, dengan peningkatan persepsi yang lebih kukuh dalam membaca, menulis, menterjemah dan membina ayat, serta perkembangan persepsi yang secara perbandingannya lebih rendah dalam bertutur dan mendengar. Ini menunjukkan bahawa POA mungkin lebih berkesan dalam menyokong penggunaan bahasa yang terstruktur dan berorientasikan output, manakala kemahiran lisan mungkin memerlukan interaksi dan pendedahan yang lebih berterusan. Di samping itu, </w:t>
      </w:r>
      <w:r w:rsidR="0074747C">
        <w:rPr>
          <w:rFonts w:ascii="Times New Roman" w:eastAsia="Times New Roman" w:hAnsi="Times New Roman" w:cs="Times New Roman"/>
          <w:kern w:val="0"/>
          <w:lang w:val="ms-MY"/>
          <w14:ligatures w14:val="none"/>
        </w:rPr>
        <w:t>pelajar</w:t>
      </w:r>
      <w:r w:rsidRPr="002B1D24">
        <w:rPr>
          <w:rFonts w:ascii="Times New Roman" w:eastAsia="Times New Roman" w:hAnsi="Times New Roman" w:cs="Times New Roman"/>
          <w:kern w:val="0"/>
          <w:lang w:val="ms-MY"/>
          <w14:ligatures w14:val="none"/>
        </w:rPr>
        <w:t xml:space="preserve"> melaporkan persepsi positif terhadap perkembangan perbendaharaan kata, aplikasi pengetahuan, motivasi dan penglibatan, yang menunjukkan hubungan rapat antara pembelajaran bahasa dengan proses pembelajaran aktif. Secara keseluruhannya, kajian ini menunjukkan bahawa POA dipersepsikan sebagai pendekatan pengajaran yang menyokong dan menarik dalam bilik darjah CFL peringkat permulaan. Walau bagaimanapun, keberkesanan persepsinya dilihat berbeza-beza mengikut kemahiran bahasa, sekali gus menggariskan kepentingan mengimbangi output terstruktur dengan peluang untuk amalan interaktif dan </w:t>
      </w:r>
      <w:r w:rsidR="003C594D">
        <w:rPr>
          <w:rFonts w:ascii="Times New Roman" w:eastAsia="Times New Roman" w:hAnsi="Times New Roman" w:cs="Times New Roman"/>
          <w:kern w:val="0"/>
          <w:lang w:val="ms-MY"/>
          <w14:ligatures w14:val="none"/>
        </w:rPr>
        <w:t>komunikasi</w:t>
      </w:r>
      <w:r w:rsidRPr="002B1D24">
        <w:rPr>
          <w:rFonts w:ascii="Times New Roman" w:eastAsia="Times New Roman" w:hAnsi="Times New Roman" w:cs="Times New Roman"/>
          <w:kern w:val="0"/>
          <w:lang w:val="ms-MY"/>
          <w14:ligatures w14:val="none"/>
        </w:rPr>
        <w:t xml:space="preserve">. Dengan menyediakan bukti daripada konteks CFL di Malaysia dan memberi tumpuan kepada </w:t>
      </w:r>
      <w:r w:rsidR="003C594D">
        <w:rPr>
          <w:rFonts w:ascii="Times New Roman" w:eastAsia="Times New Roman" w:hAnsi="Times New Roman" w:cs="Times New Roman"/>
          <w:kern w:val="0"/>
          <w:lang w:val="ms-MY"/>
          <w14:ligatures w14:val="none"/>
        </w:rPr>
        <w:t>pelajar</w:t>
      </w:r>
      <w:r w:rsidRPr="002B1D24">
        <w:rPr>
          <w:rFonts w:ascii="Times New Roman" w:eastAsia="Times New Roman" w:hAnsi="Times New Roman" w:cs="Times New Roman"/>
          <w:kern w:val="0"/>
          <w:lang w:val="ms-MY"/>
          <w14:ligatures w14:val="none"/>
        </w:rPr>
        <w:t xml:space="preserve"> peringkat permulaan, kajian ini menyumbang kepada pemahaman yang lebih sensitif terhadap konteks tentang bagaimana POA dialami dalam amalan bilik darjah.</w:t>
      </w:r>
    </w:p>
    <w:p w14:paraId="0E3A00AC" w14:textId="77777777" w:rsidR="002B1D24" w:rsidRDefault="002B1D24" w:rsidP="00CE2694">
      <w:pPr>
        <w:spacing w:after="0" w:line="240" w:lineRule="auto"/>
        <w:jc w:val="both"/>
        <w:rPr>
          <w:rFonts w:ascii="Times New Roman" w:eastAsia="Times New Roman" w:hAnsi="Times New Roman" w:cs="Times New Roman"/>
          <w:b/>
          <w:bCs/>
          <w:kern w:val="0"/>
          <w:lang w:val="ms-MY"/>
          <w14:ligatures w14:val="none"/>
        </w:rPr>
      </w:pPr>
    </w:p>
    <w:p w14:paraId="3B6D3321" w14:textId="0698983C" w:rsidR="00CE2694" w:rsidRPr="002B1D24" w:rsidRDefault="00CE2694" w:rsidP="00CE2694">
      <w:pPr>
        <w:spacing w:after="0" w:line="240" w:lineRule="auto"/>
        <w:jc w:val="both"/>
        <w:rPr>
          <w:rFonts w:ascii="Times New Roman" w:eastAsia="Times New Roman" w:hAnsi="Times New Roman" w:cs="Times New Roman"/>
          <w:kern w:val="0"/>
          <w:lang w:val="ms-MY"/>
          <w14:ligatures w14:val="none"/>
        </w:rPr>
      </w:pPr>
      <w:r w:rsidRPr="002B1D24">
        <w:rPr>
          <w:rFonts w:ascii="Times New Roman" w:eastAsia="Times New Roman" w:hAnsi="Times New Roman" w:cs="Times New Roman"/>
          <w:b/>
          <w:bCs/>
          <w:kern w:val="0"/>
          <w:lang w:val="ms-MY"/>
          <w14:ligatures w14:val="none"/>
        </w:rPr>
        <w:t>Kata kunci:</w:t>
      </w:r>
      <w:r w:rsidRPr="002B1D24">
        <w:rPr>
          <w:rFonts w:ascii="Times New Roman" w:eastAsia="Times New Roman" w:hAnsi="Times New Roman" w:cs="Times New Roman"/>
          <w:kern w:val="0"/>
          <w:lang w:val="ms-MY"/>
          <w14:ligatures w14:val="none"/>
        </w:rPr>
        <w:t xml:space="preserve"> Pendekatan Berorientasikan </w:t>
      </w:r>
      <w:r w:rsidR="003C594D">
        <w:rPr>
          <w:rFonts w:ascii="Times New Roman" w:eastAsia="Times New Roman" w:hAnsi="Times New Roman" w:cs="Times New Roman"/>
          <w:kern w:val="0"/>
          <w:lang w:val="ms-MY"/>
          <w14:ligatures w14:val="none"/>
        </w:rPr>
        <w:t>Hasil</w:t>
      </w:r>
      <w:r w:rsidRPr="002B1D24">
        <w:rPr>
          <w:rFonts w:ascii="Times New Roman" w:eastAsia="Times New Roman" w:hAnsi="Times New Roman" w:cs="Times New Roman"/>
          <w:kern w:val="0"/>
          <w:lang w:val="ms-MY"/>
          <w14:ligatures w14:val="none"/>
        </w:rPr>
        <w:t xml:space="preserve"> (POA), Bahasa Cina sebagai Bahasa Asing (CFL), </w:t>
      </w:r>
      <w:r w:rsidR="003C594D">
        <w:rPr>
          <w:rFonts w:ascii="Times New Roman" w:eastAsia="Times New Roman" w:hAnsi="Times New Roman" w:cs="Times New Roman"/>
          <w:kern w:val="0"/>
          <w:lang w:val="ms-MY"/>
          <w14:ligatures w14:val="none"/>
        </w:rPr>
        <w:t>pelajar</w:t>
      </w:r>
      <w:r w:rsidRPr="002B1D24">
        <w:rPr>
          <w:rFonts w:ascii="Times New Roman" w:eastAsia="Times New Roman" w:hAnsi="Times New Roman" w:cs="Times New Roman"/>
          <w:kern w:val="0"/>
          <w:lang w:val="ms-MY"/>
          <w14:ligatures w14:val="none"/>
        </w:rPr>
        <w:t xml:space="preserve"> peringkat permulaan</w:t>
      </w:r>
    </w:p>
    <w:p w14:paraId="37007DE2" w14:textId="77777777" w:rsidR="00022C6D" w:rsidRDefault="00022C6D" w:rsidP="00513055">
      <w:pPr>
        <w:spacing w:after="0" w:line="240" w:lineRule="auto"/>
        <w:jc w:val="center"/>
        <w:outlineLvl w:val="1"/>
        <w:rPr>
          <w:rFonts w:ascii="Times New Roman" w:eastAsia="Times New Roman" w:hAnsi="Times New Roman" w:cs="Times New Roman"/>
          <w:b/>
          <w:bCs/>
          <w:kern w:val="0"/>
          <w14:ligatures w14:val="none"/>
        </w:rPr>
      </w:pPr>
    </w:p>
    <w:p w14:paraId="336FD3CA" w14:textId="77777777" w:rsidR="009D1E19" w:rsidRDefault="009D1E19" w:rsidP="00513055">
      <w:pPr>
        <w:spacing w:after="0" w:line="240" w:lineRule="auto"/>
        <w:jc w:val="center"/>
        <w:outlineLvl w:val="1"/>
        <w:rPr>
          <w:rFonts w:ascii="Times New Roman" w:eastAsia="Times New Roman" w:hAnsi="Times New Roman" w:cs="Times New Roman"/>
          <w:b/>
          <w:bCs/>
          <w:kern w:val="0"/>
          <w14:ligatures w14:val="none"/>
        </w:rPr>
      </w:pPr>
    </w:p>
    <w:p w14:paraId="6FCA30D8" w14:textId="77777777" w:rsidR="00513055" w:rsidRDefault="00513055" w:rsidP="00741712">
      <w:pPr>
        <w:spacing w:after="0" w:line="240" w:lineRule="auto"/>
        <w:jc w:val="center"/>
        <w:outlineLvl w:val="1"/>
        <w:rPr>
          <w:rFonts w:ascii="Times New Roman" w:eastAsia="Times New Roman" w:hAnsi="Times New Roman" w:cs="Times New Roman"/>
          <w:b/>
          <w:bCs/>
          <w:kern w:val="0"/>
          <w14:ligatures w14:val="none"/>
        </w:rPr>
      </w:pPr>
    </w:p>
    <w:p w14:paraId="3969EB35" w14:textId="28EA0DFC" w:rsidR="003A254A" w:rsidRDefault="003A254A" w:rsidP="0051175C">
      <w:pPr>
        <w:spacing w:after="0" w:line="240" w:lineRule="auto"/>
        <w:jc w:val="center"/>
        <w:outlineLvl w:val="1"/>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INTRODUCTION</w:t>
      </w:r>
    </w:p>
    <w:p w14:paraId="3E5612C8" w14:textId="77777777" w:rsidR="00022C6D" w:rsidRPr="00D52A49" w:rsidRDefault="00022C6D" w:rsidP="0051175C">
      <w:pPr>
        <w:spacing w:after="0" w:line="240" w:lineRule="auto"/>
        <w:jc w:val="center"/>
        <w:outlineLvl w:val="1"/>
        <w:rPr>
          <w:rFonts w:ascii="Times New Roman" w:eastAsia="Times New Roman" w:hAnsi="Times New Roman" w:cs="Times New Roman"/>
          <w:b/>
          <w:bCs/>
          <w:kern w:val="0"/>
          <w14:ligatures w14:val="none"/>
        </w:rPr>
      </w:pPr>
    </w:p>
    <w:p w14:paraId="2F712A18" w14:textId="3CAA40B6"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The rapid economic development of China has led to a sustained global increase in interest in learning Chinese as a second or foreign language. In Malaysia, this trend is further strengthened by long-standing diplomatic and economic ties with China, making Chinese proficiency increasingly valuable for employment, intercultural communication and academic advancement. As a result, Chinese as a Foreign Language (CFL) is widely offered across various levels of the Malaysian education system, particularly in higher education institutio</w:t>
      </w:r>
      <w:r w:rsidRPr="00045322">
        <w:rPr>
          <w:rFonts w:ascii="Times New Roman" w:eastAsia="Times New Roman" w:hAnsi="Times New Roman" w:cs="Times New Roman"/>
          <w:kern w:val="0"/>
          <w14:ligatures w14:val="none"/>
        </w:rPr>
        <w:t>ns</w:t>
      </w:r>
      <w:r w:rsidR="005F64AD" w:rsidRPr="00045322">
        <w:rPr>
          <w:rFonts w:ascii="Times New Roman" w:eastAsia="Times New Roman" w:hAnsi="Times New Roman" w:cs="Times New Roman"/>
          <w:kern w:val="0"/>
          <w14:ligatures w14:val="none"/>
        </w:rPr>
        <w:t xml:space="preserve"> (Lam et al., 2020). </w:t>
      </w:r>
      <w:r w:rsidR="00D9060A">
        <w:rPr>
          <w:rFonts w:ascii="Times New Roman" w:eastAsia="Times New Roman" w:hAnsi="Times New Roman" w:cs="Times New Roman"/>
          <w:kern w:val="0"/>
          <w14:ligatures w14:val="none"/>
        </w:rPr>
        <w:t xml:space="preserve"> </w:t>
      </w:r>
    </w:p>
    <w:p w14:paraId="71E62B61" w14:textId="77777777" w:rsidR="0005778A" w:rsidRDefault="0005778A" w:rsidP="0005778A">
      <w:pPr>
        <w:spacing w:after="0" w:line="240" w:lineRule="auto"/>
        <w:ind w:firstLine="720"/>
        <w:jc w:val="both"/>
        <w:rPr>
          <w:rFonts w:ascii="Times New Roman" w:eastAsia="Times New Roman" w:hAnsi="Times New Roman" w:cs="Times New Roman"/>
          <w:kern w:val="0"/>
          <w14:ligatures w14:val="none"/>
        </w:rPr>
      </w:pPr>
    </w:p>
    <w:p w14:paraId="0B0F725E" w14:textId="6CE7DD02" w:rsidR="007B07D0" w:rsidRDefault="003A254A" w:rsidP="009D1E19">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Despite this growing demand, many non-native learners continue to face challenges in achieving satisfactory proficiency. Previous research has identified persistent issues such as limited communicative competence, insufficient exposure to authentic language use and a tendency toward passive learning in classroom settings. These challenges are especially evident among beginner-level learners, who often struggle to apply what they have learned in meaningful communication. Addressing these issues requires pedagogical approaches that promote active engagement and support both language development and effective learning processes.</w:t>
      </w:r>
    </w:p>
    <w:p w14:paraId="2CF59860" w14:textId="77777777" w:rsidR="00587576" w:rsidRDefault="00587576" w:rsidP="007B07D0">
      <w:pPr>
        <w:spacing w:after="0" w:line="240" w:lineRule="auto"/>
        <w:ind w:firstLine="720"/>
        <w:jc w:val="both"/>
        <w:rPr>
          <w:rFonts w:ascii="Times New Roman" w:eastAsia="Times New Roman" w:hAnsi="Times New Roman" w:cs="Times New Roman"/>
          <w:kern w:val="0"/>
          <w14:ligatures w14:val="none"/>
        </w:rPr>
      </w:pPr>
    </w:p>
    <w:p w14:paraId="01AA51B9" w14:textId="3DEFA0B8" w:rsidR="003A254A" w:rsidRPr="00D52A49" w:rsidRDefault="003A254A" w:rsidP="007B07D0">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In response to these challenges, the Production-Oriented Approach (POA) has emerged as a pedagogical framework that emphasizes output-driven learning and the integration of language use with learning. POA encourages learners to engage in meaningful communicative tasks from the outset, supported by carefully designed input and instructional scaffolding. Through its core principles and classroom implementation phases of motivating, enabling and assessing, POA aims to bridge the gap between knowledge acquisition and practical language use while promoting learner engagement and participation.</w:t>
      </w:r>
    </w:p>
    <w:p w14:paraId="12FA751C" w14:textId="77777777" w:rsidR="009409E2" w:rsidRDefault="009409E2" w:rsidP="009409E2">
      <w:pPr>
        <w:spacing w:after="0" w:line="240" w:lineRule="auto"/>
        <w:ind w:firstLine="720"/>
        <w:jc w:val="both"/>
        <w:rPr>
          <w:rFonts w:ascii="Times New Roman" w:eastAsia="Times New Roman" w:hAnsi="Times New Roman" w:cs="Times New Roman"/>
          <w:kern w:val="0"/>
          <w14:ligatures w14:val="none"/>
        </w:rPr>
      </w:pPr>
    </w:p>
    <w:p w14:paraId="7E0DCE11" w14:textId="4BFF0F4A" w:rsidR="003A254A" w:rsidRPr="00D52A49" w:rsidRDefault="003A254A" w:rsidP="009409E2">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A growing body of research has reported positive outcomes associated with POA, including improvements in language production, vocabulary acquisition and learner motivation. However, much of this research has been conducted in mainland China or in contexts that focus on specific language skills. There remains limited research examining how POA is experienced by learners in Southeast Asian contexts such as Malaysia, particularly at the beginner level. In addition, while many studies report learning outcomes, fewer studies have focused on learners’ perceptions of POA-based instruction. Understanding these perceptions is important, as they can influence motivation, engagement and overall learning experience.</w:t>
      </w:r>
    </w:p>
    <w:p w14:paraId="0BE364C4" w14:textId="77777777" w:rsidR="009409E2" w:rsidRDefault="009409E2" w:rsidP="0051175C">
      <w:pPr>
        <w:spacing w:after="0" w:line="240" w:lineRule="auto"/>
        <w:jc w:val="both"/>
        <w:rPr>
          <w:rFonts w:ascii="Times New Roman" w:eastAsia="Times New Roman" w:hAnsi="Times New Roman" w:cs="Times New Roman"/>
          <w:kern w:val="0"/>
          <w14:ligatures w14:val="none"/>
        </w:rPr>
      </w:pPr>
    </w:p>
    <w:p w14:paraId="72A7544A" w14:textId="2E4A6AD5" w:rsidR="003A254A" w:rsidRPr="00D52A49" w:rsidRDefault="003A254A" w:rsidP="009409E2">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In a multilingual and multicultural context such as Malaysia, where learners bring diverse linguistic backgrounds and prior learning experiences, it is important to examine how instructional approaches are perceived and experienced</w:t>
      </w:r>
      <w:r w:rsidR="005F64AD" w:rsidRPr="00C00388">
        <w:rPr>
          <w:rFonts w:ascii="Times New Roman" w:eastAsia="Times New Roman" w:hAnsi="Times New Roman" w:cs="Times New Roman"/>
          <w:kern w:val="0"/>
          <w14:ligatures w14:val="none"/>
        </w:rPr>
        <w:t>.</w:t>
      </w:r>
      <w:r w:rsidR="005F64AD" w:rsidRPr="00C00388">
        <w:t xml:space="preserve"> </w:t>
      </w:r>
      <w:r w:rsidR="005F64AD" w:rsidRPr="00C00388">
        <w:rPr>
          <w:rFonts w:ascii="Times New Roman" w:eastAsia="Times New Roman" w:hAnsi="Times New Roman" w:cs="Times New Roman"/>
          <w:kern w:val="0"/>
          <w14:ligatures w14:val="none"/>
        </w:rPr>
        <w:t>Research on Malaysian second-language learners has likewise demonstrated that learners’ linguistic backgrounds can shape their developing use of the target language, particularly through the influence of existing linguistic structures (Paul et al., 2020).</w:t>
      </w:r>
      <w:r w:rsidR="005F64AD" w:rsidRPr="00C00388">
        <w:t xml:space="preserve"> </w:t>
      </w:r>
      <w:r w:rsidRPr="00C00388">
        <w:rPr>
          <w:rFonts w:ascii="Times New Roman" w:eastAsia="Times New Roman" w:hAnsi="Times New Roman" w:cs="Times New Roman"/>
          <w:kern w:val="0"/>
          <w14:ligatures w14:val="none"/>
        </w:rPr>
        <w:t>There remains a need for empirical research that explores how beginner-level CFL learners perceive the impact of POA on both their language</w:t>
      </w:r>
      <w:r w:rsidRPr="00D52A49">
        <w:rPr>
          <w:rFonts w:ascii="Times New Roman" w:eastAsia="Times New Roman" w:hAnsi="Times New Roman" w:cs="Times New Roman"/>
          <w:kern w:val="0"/>
          <w14:ligatures w14:val="none"/>
        </w:rPr>
        <w:t xml:space="preserve"> proficiency and their learning processes.</w:t>
      </w:r>
    </w:p>
    <w:p w14:paraId="0A425558" w14:textId="77777777" w:rsidR="009409E2" w:rsidRDefault="009409E2" w:rsidP="0051175C">
      <w:pPr>
        <w:spacing w:after="0" w:line="240" w:lineRule="auto"/>
        <w:jc w:val="both"/>
        <w:rPr>
          <w:rFonts w:ascii="Times New Roman" w:eastAsia="Times New Roman" w:hAnsi="Times New Roman" w:cs="Times New Roman"/>
          <w:kern w:val="0"/>
          <w14:ligatures w14:val="none"/>
        </w:rPr>
      </w:pPr>
    </w:p>
    <w:p w14:paraId="185998D7" w14:textId="2D9D6542" w:rsidR="003A254A"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Therefore, this study aims to investigate beginner-level Malaysian CFL learners’ perceptions of POA-based instruction in a higher education context. This study contributes to </w:t>
      </w:r>
      <w:r w:rsidR="00D86A3D" w:rsidRPr="00D52A49">
        <w:rPr>
          <w:rFonts w:ascii="Times New Roman" w:eastAsia="Times New Roman" w:hAnsi="Times New Roman" w:cs="Times New Roman"/>
          <w:kern w:val="0"/>
          <w14:ligatures w14:val="none"/>
        </w:rPr>
        <w:t>existing</w:t>
      </w:r>
      <w:r w:rsidRPr="00D52A49">
        <w:rPr>
          <w:rFonts w:ascii="Times New Roman" w:eastAsia="Times New Roman" w:hAnsi="Times New Roman" w:cs="Times New Roman"/>
          <w:kern w:val="0"/>
          <w14:ligatures w14:val="none"/>
        </w:rPr>
        <w:t xml:space="preserve"> literature in several ways. First, it extends research on the Production-Oriented Approach to a Malaysian CFL context, which has received limited attention compared to English as a </w:t>
      </w:r>
      <w:r w:rsidR="00D86A3D" w:rsidRPr="00D52A49">
        <w:rPr>
          <w:rFonts w:ascii="Times New Roman" w:eastAsia="Times New Roman" w:hAnsi="Times New Roman" w:cs="Times New Roman"/>
          <w:kern w:val="0"/>
          <w14:ligatures w14:val="none"/>
        </w:rPr>
        <w:t>Foreign Language setting</w:t>
      </w:r>
      <w:r w:rsidRPr="00D52A49">
        <w:rPr>
          <w:rFonts w:ascii="Times New Roman" w:eastAsia="Times New Roman" w:hAnsi="Times New Roman" w:cs="Times New Roman"/>
          <w:kern w:val="0"/>
          <w14:ligatures w14:val="none"/>
        </w:rPr>
        <w:t xml:space="preserve"> in mainland China. Second, it focuses specifically on beginner-level learners, a group that remains underexplored in POA research. Third, the study examines learners’ perceptions rather than relying solely on performance-based outcomes, providing insight into how POA is experienced in real classroom settings. Finally, it offers an integrated analysis of both language proficiency and learning processes, contributing to a more comprehensive understanding of POA in CFL instruction. The study addresses the following research questions:</w:t>
      </w:r>
    </w:p>
    <w:p w14:paraId="7E320170" w14:textId="77777777" w:rsidR="00734B2F" w:rsidRPr="00D52A49" w:rsidRDefault="00734B2F" w:rsidP="0051175C">
      <w:pPr>
        <w:spacing w:after="0" w:line="240" w:lineRule="auto"/>
        <w:jc w:val="both"/>
        <w:rPr>
          <w:rFonts w:ascii="Times New Roman" w:eastAsia="Times New Roman" w:hAnsi="Times New Roman" w:cs="Times New Roman"/>
          <w:kern w:val="0"/>
          <w14:ligatures w14:val="none"/>
        </w:rPr>
      </w:pPr>
    </w:p>
    <w:p w14:paraId="4049309E" w14:textId="77777777" w:rsidR="003A254A" w:rsidRPr="00D52A49" w:rsidRDefault="003A254A" w:rsidP="0051175C">
      <w:pPr>
        <w:pStyle w:val="ListParagraph"/>
        <w:numPr>
          <w:ilvl w:val="0"/>
          <w:numId w:val="4"/>
        </w:num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How do beginner CFL learners perceive the impact of POA on Chinese language proficiency, including listening, speaking, reading, writing and translation?</w:t>
      </w:r>
    </w:p>
    <w:p w14:paraId="52DB064C" w14:textId="77777777" w:rsidR="003A254A" w:rsidRPr="00D52A49" w:rsidRDefault="003A254A" w:rsidP="0051175C">
      <w:pPr>
        <w:pStyle w:val="ListParagraph"/>
        <w:numPr>
          <w:ilvl w:val="0"/>
          <w:numId w:val="4"/>
        </w:num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How do beginner CFL learners perceive the impact of POA on their learning processes, including cognitive development such as vocabulary acquisition, sentence structure and retention, and active learning such as motivation, engagement and participation?</w:t>
      </w:r>
    </w:p>
    <w:p w14:paraId="208AE3C0" w14:textId="77777777" w:rsidR="00734B2F" w:rsidRDefault="00734B2F" w:rsidP="0051175C">
      <w:pPr>
        <w:spacing w:after="0" w:line="240" w:lineRule="auto"/>
        <w:jc w:val="center"/>
        <w:rPr>
          <w:rFonts w:ascii="Times New Roman" w:eastAsia="Times New Roman" w:hAnsi="Times New Roman" w:cs="Times New Roman"/>
          <w:b/>
          <w:bCs/>
          <w:kern w:val="0"/>
          <w14:ligatures w14:val="none"/>
        </w:rPr>
      </w:pPr>
    </w:p>
    <w:p w14:paraId="29162055" w14:textId="77777777" w:rsidR="009D1E19" w:rsidRDefault="009D1E19" w:rsidP="009D1E19">
      <w:pPr>
        <w:spacing w:after="0" w:line="240" w:lineRule="auto"/>
        <w:rPr>
          <w:rFonts w:ascii="Times New Roman" w:eastAsia="Times New Roman" w:hAnsi="Times New Roman" w:cs="Times New Roman"/>
          <w:b/>
          <w:bCs/>
          <w:kern w:val="0"/>
          <w14:ligatures w14:val="none"/>
        </w:rPr>
      </w:pPr>
    </w:p>
    <w:p w14:paraId="378D76D7" w14:textId="0B4FF074" w:rsidR="003A254A" w:rsidRDefault="003A254A" w:rsidP="0051175C">
      <w:pPr>
        <w:spacing w:after="0" w:line="240" w:lineRule="auto"/>
        <w:jc w:val="center"/>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LITERATURE REVIEW</w:t>
      </w:r>
    </w:p>
    <w:p w14:paraId="441D2D57" w14:textId="77777777" w:rsidR="00734B2F" w:rsidRPr="00D52A49" w:rsidRDefault="00734B2F" w:rsidP="0051175C">
      <w:pPr>
        <w:spacing w:after="0" w:line="240" w:lineRule="auto"/>
        <w:jc w:val="center"/>
        <w:rPr>
          <w:rFonts w:ascii="Times New Roman" w:eastAsia="Times New Roman" w:hAnsi="Times New Roman" w:cs="Times New Roman"/>
          <w:b/>
          <w:bCs/>
          <w:kern w:val="0"/>
          <w14:ligatures w14:val="none"/>
        </w:rPr>
      </w:pPr>
    </w:p>
    <w:p w14:paraId="5FE117B2" w14:textId="1D312E44" w:rsidR="00C81A96" w:rsidRPr="00E246A1" w:rsidRDefault="00C81A96"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The Production-Oriented Approach in Language Teaching</w:t>
      </w:r>
    </w:p>
    <w:p w14:paraId="74FEE491" w14:textId="0532BF14"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The Production-Oriented Approach (POA), developed by Wen Qiufang, was proposed to address a persistent gap in foreign language teaching between language knowledge and language use (Wen, 2016). Traditional instructional approaches often prioritize input, such as vocabulary explanation and grammar instruction, while providing limited opportunities for meaningful language production. In contrast, POA emphasizes the integration of learning and use through output-driven tasks, positioning language production as both the starting point and driving force of learning.</w:t>
      </w:r>
    </w:p>
    <w:p w14:paraId="47434785" w14:textId="77777777" w:rsidR="00B3260B" w:rsidRDefault="00B3260B" w:rsidP="00B3260B">
      <w:pPr>
        <w:spacing w:after="0" w:line="240" w:lineRule="auto"/>
        <w:ind w:firstLine="720"/>
        <w:jc w:val="both"/>
        <w:rPr>
          <w:rFonts w:ascii="Times New Roman" w:eastAsia="Times New Roman" w:hAnsi="Times New Roman" w:cs="Times New Roman"/>
          <w:kern w:val="0"/>
          <w14:ligatures w14:val="none"/>
        </w:rPr>
      </w:pPr>
    </w:p>
    <w:p w14:paraId="43FCE993" w14:textId="31DB5B1D" w:rsidR="00C81A96" w:rsidRPr="00D52A49" w:rsidRDefault="00C81A96" w:rsidP="00B3260B">
      <w:pPr>
        <w:spacing w:after="0" w:line="240" w:lineRule="auto"/>
        <w:ind w:firstLine="720"/>
        <w:jc w:val="both"/>
        <w:rPr>
          <w:rFonts w:ascii="Times New Roman" w:eastAsia="Times New Roman" w:hAnsi="Times New Roman" w:cs="Times New Roman"/>
          <w:b/>
          <w:bCs/>
          <w:i/>
          <w:iCs/>
          <w:kern w:val="0"/>
          <w14:ligatures w14:val="none"/>
        </w:rPr>
      </w:pPr>
      <w:r w:rsidRPr="00D52A49">
        <w:rPr>
          <w:rFonts w:ascii="Times New Roman" w:eastAsia="Times New Roman" w:hAnsi="Times New Roman" w:cs="Times New Roman"/>
          <w:kern w:val="0"/>
          <w14:ligatures w14:val="none"/>
        </w:rPr>
        <w:t>Conceptually, POA draws on input, output and interaction-based theories, but adapts these principles to pedagogical contexts where learners may have limited opportunities for authentic communication (Wen, 2016; Wang, 2021; Sun, 2022). It is guided by three core principles: the learning-centered principle, which prioritizes effective learning outcomes; the learning-using integration principle, which links input directly to communicative tasks; and the whole-person education principle, which extends learning beyond linguistic competence to include cognitive and affective development (Gao &amp; Wang, 2023; Huang, 2022). These principles are operationalized through the output-driven, input-enabled and selective learning hypotheses, which together frame learning as a dynamic process shaped by communicative needs and targeted input (Liu &amp; Zhang, 2022).</w:t>
      </w:r>
    </w:p>
    <w:p w14:paraId="2DD8CDF4" w14:textId="77777777" w:rsidR="00D50DC2" w:rsidRDefault="00D50DC2" w:rsidP="0051175C">
      <w:pPr>
        <w:spacing w:after="0" w:line="240" w:lineRule="auto"/>
        <w:jc w:val="both"/>
        <w:rPr>
          <w:rFonts w:ascii="Times New Roman" w:eastAsia="Times New Roman" w:hAnsi="Times New Roman" w:cs="Times New Roman"/>
          <w:b/>
          <w:bCs/>
          <w:i/>
          <w:iCs/>
          <w:kern w:val="0"/>
          <w14:ligatures w14:val="none"/>
        </w:rPr>
      </w:pPr>
    </w:p>
    <w:p w14:paraId="122AA7F1" w14:textId="03B0B9E9" w:rsidR="00C81A96" w:rsidRPr="00E246A1" w:rsidRDefault="00C81A96"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POA in Relation to Other Pedagogical Approaches</w:t>
      </w:r>
    </w:p>
    <w:p w14:paraId="18973C2D" w14:textId="5DA62389"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While POA shares similarities with approaches such as Task-Based Language Teaching (TBLT) and Project-Based Learning (PBL), it differs in its explicit emphasis on output as the starting point of instruction. TBLT typically begins with task completion supported by input, whereas POA foregrounds output-driven motivation, where learners first attempt communicative tasks to identify gaps in their knowledge. Similarly, PBL emphasizes extended projects and learner autonomy, but may not provide the same level of structured scaffolding between input and output as POA.</w:t>
      </w:r>
    </w:p>
    <w:p w14:paraId="4F16A8C2" w14:textId="77777777" w:rsidR="00D50DC2" w:rsidRDefault="00D50DC2" w:rsidP="0051175C">
      <w:pPr>
        <w:spacing w:after="0" w:line="240" w:lineRule="auto"/>
        <w:jc w:val="both"/>
        <w:rPr>
          <w:rFonts w:ascii="Times New Roman" w:eastAsia="Times New Roman" w:hAnsi="Times New Roman" w:cs="Times New Roman"/>
          <w:kern w:val="0"/>
          <w14:ligatures w14:val="none"/>
        </w:rPr>
      </w:pPr>
    </w:p>
    <w:p w14:paraId="1256A7ED" w14:textId="7161C6DB" w:rsidR="00C81A96" w:rsidRPr="00D52A49" w:rsidRDefault="00C81A96" w:rsidP="00D50DC2">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distinction suggests that POA offers a more structured integration of learning and use, particularly in contexts where learners require guided support to engage in meaningful communication. However, despite these theoretical distinctions, empirical comparisons between POA and other pedagogical approaches remain limited, especially in CFL contexts. This indicates a need for further research that situates POA within a broader pedagogical landscape rather than treating it as a standalone framework.</w:t>
      </w:r>
    </w:p>
    <w:p w14:paraId="5D50178B" w14:textId="77777777" w:rsidR="00D50DC2" w:rsidRDefault="00D50DC2" w:rsidP="0051175C">
      <w:pPr>
        <w:spacing w:after="0" w:line="240" w:lineRule="auto"/>
        <w:jc w:val="both"/>
        <w:rPr>
          <w:rFonts w:ascii="Times New Roman" w:eastAsia="Times New Roman" w:hAnsi="Times New Roman" w:cs="Times New Roman"/>
          <w:b/>
          <w:bCs/>
          <w:i/>
          <w:iCs/>
          <w:kern w:val="0"/>
          <w14:ligatures w14:val="none"/>
        </w:rPr>
      </w:pPr>
    </w:p>
    <w:p w14:paraId="1BDFF62E" w14:textId="3354F537" w:rsidR="00C81A96" w:rsidRPr="00E246A1" w:rsidRDefault="00C81A96"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POA and Language Proficiency Development</w:t>
      </w:r>
    </w:p>
    <w:p w14:paraId="2279FB9B" w14:textId="33ACC9E1"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A growing body of research has examined the impact of POA on language proficiency, particularly in English as a </w:t>
      </w:r>
      <w:r w:rsidR="00474B27" w:rsidRPr="00D52A49">
        <w:rPr>
          <w:rFonts w:ascii="Times New Roman" w:eastAsia="Times New Roman" w:hAnsi="Times New Roman" w:cs="Times New Roman"/>
          <w:kern w:val="0"/>
          <w14:ligatures w14:val="none"/>
        </w:rPr>
        <w:t>Foreign Language context</w:t>
      </w:r>
      <w:r w:rsidRPr="00D52A49">
        <w:rPr>
          <w:rFonts w:ascii="Times New Roman" w:eastAsia="Times New Roman" w:hAnsi="Times New Roman" w:cs="Times New Roman"/>
          <w:kern w:val="0"/>
          <w14:ligatures w14:val="none"/>
        </w:rPr>
        <w:t xml:space="preserve"> in mainland China. Overall, these studies suggest that POA is effective in supporting productive language skills, especially writing and speaking, as learners engage in communicative tasks that require the application of linguistic knowledge (Xuan et al., 2023; Sun et al., 2024).</w:t>
      </w:r>
    </w:p>
    <w:p w14:paraId="080C0B9E" w14:textId="77777777" w:rsidR="00D50DC2" w:rsidRDefault="00D50DC2" w:rsidP="0051175C">
      <w:pPr>
        <w:spacing w:after="0" w:line="240" w:lineRule="auto"/>
        <w:jc w:val="both"/>
        <w:rPr>
          <w:rFonts w:ascii="Times New Roman" w:eastAsia="Times New Roman" w:hAnsi="Times New Roman" w:cs="Times New Roman"/>
          <w:kern w:val="0"/>
          <w14:ligatures w14:val="none"/>
        </w:rPr>
      </w:pPr>
    </w:p>
    <w:p w14:paraId="4B46C2DF" w14:textId="77777777" w:rsidR="00D50DC2" w:rsidRDefault="00D50DC2" w:rsidP="00D50DC2">
      <w:pPr>
        <w:spacing w:after="0" w:line="240" w:lineRule="auto"/>
        <w:ind w:firstLine="720"/>
        <w:jc w:val="both"/>
        <w:rPr>
          <w:rFonts w:ascii="Times New Roman" w:eastAsia="Times New Roman" w:hAnsi="Times New Roman" w:cs="Times New Roman"/>
          <w:kern w:val="0"/>
          <w14:ligatures w14:val="none"/>
        </w:rPr>
      </w:pPr>
    </w:p>
    <w:p w14:paraId="36496557" w14:textId="7486858C" w:rsidR="00C81A96" w:rsidRPr="00D52A49" w:rsidRDefault="00C81A96" w:rsidP="005F64AD">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However, findings also indicate that the effects of POA may vary across different language skills.</w:t>
      </w:r>
      <w:r w:rsidR="00D9060A" w:rsidRPr="00D9060A">
        <w:t xml:space="preserve"> </w:t>
      </w:r>
      <w:r w:rsidRPr="00D52A49">
        <w:rPr>
          <w:rFonts w:ascii="Times New Roman" w:eastAsia="Times New Roman" w:hAnsi="Times New Roman" w:cs="Times New Roman"/>
          <w:kern w:val="0"/>
          <w14:ligatures w14:val="none"/>
        </w:rPr>
        <w:t xml:space="preserve">While writing and structured language use often </w:t>
      </w:r>
      <w:r w:rsidR="00474B27" w:rsidRPr="00D52A49">
        <w:rPr>
          <w:rFonts w:ascii="Times New Roman" w:eastAsia="Times New Roman" w:hAnsi="Times New Roman" w:cs="Times New Roman"/>
          <w:kern w:val="0"/>
          <w14:ligatures w14:val="none"/>
        </w:rPr>
        <w:t>shows</w:t>
      </w:r>
      <w:r w:rsidRPr="00D52A49">
        <w:rPr>
          <w:rFonts w:ascii="Times New Roman" w:eastAsia="Times New Roman" w:hAnsi="Times New Roman" w:cs="Times New Roman"/>
          <w:kern w:val="0"/>
          <w14:ligatures w14:val="none"/>
        </w:rPr>
        <w:t xml:space="preserve"> noticeable improvement, the development of listening and speaking skills is sometimes reported to be more gradual (Liu &amp; Zhang, 2022; Zhao, 2025). This may be due to the nature of oral communication, which requires real-time processing, sustained interaction and exposure to authentic input. In addition, reading and listening are frequently integrated into task-based activities as supporting skills, rather than being taught independently, which may influence how learners perceive their development (An &amp; Pan, 2024; Sun, 2022).</w:t>
      </w:r>
    </w:p>
    <w:p w14:paraId="6D895220" w14:textId="77777777" w:rsidR="00D50DC2" w:rsidRDefault="00D50DC2" w:rsidP="0051175C">
      <w:pPr>
        <w:spacing w:after="0" w:line="240" w:lineRule="auto"/>
        <w:jc w:val="both"/>
        <w:rPr>
          <w:rFonts w:ascii="Times New Roman" w:eastAsia="Times New Roman" w:hAnsi="Times New Roman" w:cs="Times New Roman"/>
          <w:kern w:val="0"/>
          <w14:ligatures w14:val="none"/>
        </w:rPr>
      </w:pPr>
    </w:p>
    <w:p w14:paraId="7579EA4F" w14:textId="74AEB602"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These findings suggest that while POA effectively supports output-oriented language use, its impact on different language skills may not be uniform. This raises important questions about how POA is implemented in practice, particularly at the beginner level, where learners may require additional support for oral communication.</w:t>
      </w:r>
    </w:p>
    <w:p w14:paraId="23324E02" w14:textId="77777777" w:rsidR="00D50DC2" w:rsidRDefault="00D50DC2" w:rsidP="0051175C">
      <w:pPr>
        <w:spacing w:after="0" w:line="240" w:lineRule="auto"/>
        <w:jc w:val="both"/>
        <w:rPr>
          <w:rFonts w:ascii="Times New Roman" w:eastAsia="Times New Roman" w:hAnsi="Times New Roman" w:cs="Times New Roman"/>
          <w:b/>
          <w:bCs/>
          <w:i/>
          <w:iCs/>
          <w:kern w:val="0"/>
          <w14:ligatures w14:val="none"/>
        </w:rPr>
      </w:pPr>
    </w:p>
    <w:p w14:paraId="73AE131E" w14:textId="482088F1" w:rsidR="00C81A96" w:rsidRPr="00E246A1" w:rsidRDefault="00C81A96"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POA and Learning Processes</w:t>
      </w:r>
    </w:p>
    <w:p w14:paraId="09BE1607" w14:textId="0DF575C5"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Beyond language proficiency, POA has been associated with changes in learners’ cognitive and behavioral learning processes. From a cognitive perspective, output-driven tasks encourage learners to notice gaps in their knowledge, while targeted input and repeated practice facilitate vocabulary acquisition, sentence structure development and knowledge retention (Xuan et al., 2023; Gao &amp; Wang, 2023). This suggests that POA promotes deeper processing of language, rather than surface-level memorization.</w:t>
      </w:r>
    </w:p>
    <w:p w14:paraId="589A4FC1" w14:textId="77777777" w:rsidR="00D50DC2" w:rsidRDefault="00D50DC2" w:rsidP="0051175C">
      <w:pPr>
        <w:spacing w:after="0" w:line="240" w:lineRule="auto"/>
        <w:jc w:val="both"/>
        <w:rPr>
          <w:rFonts w:ascii="Times New Roman" w:eastAsia="Times New Roman" w:hAnsi="Times New Roman" w:cs="Times New Roman"/>
          <w:kern w:val="0"/>
          <w14:ligatures w14:val="none"/>
        </w:rPr>
      </w:pPr>
    </w:p>
    <w:p w14:paraId="5F2F2151" w14:textId="5BE76F01" w:rsidR="00C81A96" w:rsidRPr="00D52A49" w:rsidRDefault="00C81A96" w:rsidP="00D50DC2">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From a behavioral perspective, POA-based instruction is often linked to increased motivation, engagement and participation. Communicative tasks, such as role plays and presentations, provide opportunities for meaningful language use, which can enhance learners’ willingness to participate and interact (Zhang &amp; Kong, 2025; Zhou &amp; Mohamed, 2025). In addition, mechanisms such as peer evaluation and self-reflection may contribute to the development of learner autonomy (Ma, 2023; Huang, 2022).</w:t>
      </w:r>
    </w:p>
    <w:p w14:paraId="1D923DBC" w14:textId="77777777" w:rsidR="00D50DC2" w:rsidRDefault="00D50DC2" w:rsidP="0051175C">
      <w:pPr>
        <w:spacing w:after="0" w:line="240" w:lineRule="auto"/>
        <w:jc w:val="both"/>
        <w:rPr>
          <w:rFonts w:ascii="Times New Roman" w:eastAsia="Times New Roman" w:hAnsi="Times New Roman" w:cs="Times New Roman"/>
          <w:kern w:val="0"/>
          <w14:ligatures w14:val="none"/>
        </w:rPr>
      </w:pPr>
    </w:p>
    <w:p w14:paraId="4FF70A49" w14:textId="32F28983"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However, much of this evidence is based on performance outcomes or classroom observations, with relatively fewer studies focusing on learners’ subjective experiences. As a result, there remains limited understanding of how learners themselves perceive the relationship between language development and learning processes within POA-based instruction.</w:t>
      </w:r>
    </w:p>
    <w:p w14:paraId="227EB119" w14:textId="77777777" w:rsidR="00096E9B" w:rsidRDefault="00096E9B" w:rsidP="0051175C">
      <w:pPr>
        <w:spacing w:after="0" w:line="240" w:lineRule="auto"/>
        <w:rPr>
          <w:rFonts w:ascii="Times New Roman" w:eastAsia="Times New Roman" w:hAnsi="Times New Roman" w:cs="Times New Roman"/>
          <w:b/>
          <w:bCs/>
          <w:i/>
          <w:iCs/>
          <w:kern w:val="0"/>
          <w14:ligatures w14:val="none"/>
        </w:rPr>
      </w:pPr>
    </w:p>
    <w:p w14:paraId="1F94AEBF" w14:textId="700C49F8" w:rsidR="00C81A96" w:rsidRPr="00E246A1" w:rsidRDefault="00C81A96" w:rsidP="0051175C">
      <w:pPr>
        <w:spacing w:after="0" w:line="240" w:lineRule="auto"/>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Research Gap</w:t>
      </w:r>
    </w:p>
    <w:p w14:paraId="0046F8AA" w14:textId="37C0F4FA" w:rsidR="00C81A96" w:rsidRPr="00D52A49" w:rsidRDefault="00C81A96"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Despite increasing interest in the Production-Oriented Approach, several gaps remain in the existing literature. First, most empirical studies have been conducted in English as a Foreign Language context in mainland China, with limited attention to Chinese as a Foreign Language setting, particularly in Southeast Asia. Second, existing research has largely focused on measurable learning outcomes, such as writing or speaking performance, while learners’ perceptions have received comparatively less attention.</w:t>
      </w:r>
    </w:p>
    <w:p w14:paraId="0F0818CC" w14:textId="77777777" w:rsidR="00096E9B" w:rsidRDefault="00096E9B" w:rsidP="0051175C">
      <w:pPr>
        <w:spacing w:after="0" w:line="240" w:lineRule="auto"/>
        <w:jc w:val="both"/>
        <w:rPr>
          <w:rFonts w:ascii="Times New Roman" w:eastAsia="Times New Roman" w:hAnsi="Times New Roman" w:cs="Times New Roman"/>
          <w:kern w:val="0"/>
          <w14:ligatures w14:val="none"/>
        </w:rPr>
      </w:pPr>
    </w:p>
    <w:p w14:paraId="6347C314" w14:textId="715CC540" w:rsidR="00C81A96" w:rsidRPr="00D52A49" w:rsidRDefault="00C81A96" w:rsidP="00096E9B">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In addition, beginner-level learners remain underrepresented in POA research, despite facing distinct challenges related to limited linguistic resources and communicative confidence. In multilingual contexts such as Malaysia, where learners bring diverse linguistic backgrounds, it is particularly important to examine how instructional approaches are experienced from the learners’ perspective. Therefore, this study addresses these gaps by exploring how beginner-level Malaysian CFL learners perceive the impact of POA on both language proficiency and learning processes, providing a more context-sensitive and learner-centered understanding of POA in practice.</w:t>
      </w:r>
    </w:p>
    <w:p w14:paraId="142F408C" w14:textId="77777777" w:rsidR="00096E9B" w:rsidRDefault="00096E9B" w:rsidP="0051175C">
      <w:pPr>
        <w:spacing w:after="0" w:line="240" w:lineRule="auto"/>
        <w:jc w:val="center"/>
        <w:rPr>
          <w:rFonts w:ascii="Times New Roman" w:eastAsia="Times New Roman" w:hAnsi="Times New Roman" w:cs="Times New Roman"/>
          <w:b/>
          <w:bCs/>
          <w:kern w:val="0"/>
          <w14:ligatures w14:val="none"/>
        </w:rPr>
      </w:pPr>
    </w:p>
    <w:p w14:paraId="740CCDAF" w14:textId="77777777" w:rsidR="00096E9B" w:rsidRDefault="00096E9B" w:rsidP="0051175C">
      <w:pPr>
        <w:spacing w:after="0" w:line="240" w:lineRule="auto"/>
        <w:jc w:val="center"/>
        <w:rPr>
          <w:rFonts w:ascii="Times New Roman" w:eastAsia="Times New Roman" w:hAnsi="Times New Roman" w:cs="Times New Roman"/>
          <w:b/>
          <w:bCs/>
          <w:kern w:val="0"/>
          <w14:ligatures w14:val="none"/>
        </w:rPr>
      </w:pPr>
    </w:p>
    <w:p w14:paraId="4C481364" w14:textId="77777777" w:rsidR="00D713BC" w:rsidRDefault="00D713BC" w:rsidP="0051175C">
      <w:pPr>
        <w:spacing w:after="0" w:line="240" w:lineRule="auto"/>
        <w:jc w:val="center"/>
        <w:rPr>
          <w:rFonts w:ascii="Times New Roman" w:eastAsia="Times New Roman" w:hAnsi="Times New Roman" w:cs="Times New Roman"/>
          <w:b/>
          <w:bCs/>
          <w:kern w:val="0"/>
          <w14:ligatures w14:val="none"/>
        </w:rPr>
      </w:pPr>
    </w:p>
    <w:p w14:paraId="564DC602" w14:textId="44ABF6FE" w:rsidR="003A254A" w:rsidRDefault="003A254A" w:rsidP="0051175C">
      <w:pPr>
        <w:spacing w:after="0" w:line="240" w:lineRule="auto"/>
        <w:jc w:val="center"/>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CONCEPTUAL FRAMEWORK</w:t>
      </w:r>
    </w:p>
    <w:p w14:paraId="18C050AA" w14:textId="77777777" w:rsidR="00AB1847" w:rsidRPr="00D52A49" w:rsidRDefault="00AB1847" w:rsidP="0051175C">
      <w:pPr>
        <w:spacing w:after="0" w:line="240" w:lineRule="auto"/>
        <w:jc w:val="center"/>
        <w:rPr>
          <w:rFonts w:ascii="Times New Roman" w:eastAsia="Times New Roman" w:hAnsi="Times New Roman" w:cs="Times New Roman"/>
          <w:b/>
          <w:bCs/>
          <w:kern w:val="0"/>
          <w14:ligatures w14:val="none"/>
        </w:rPr>
      </w:pPr>
    </w:p>
    <w:p w14:paraId="00B213D2" w14:textId="77777777"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study is guided by a conceptual framework based on the Production-Oriented Approach (POA), which emphasizes the integration of language learning and language use through output-driven and task-based instruction. In this study, POA-based instruction is treated as the central instructional factor shaping learners’ classroom experiences.</w:t>
      </w:r>
    </w:p>
    <w:p w14:paraId="41D2D3B6" w14:textId="77777777" w:rsidR="00610A75" w:rsidRDefault="00610A75" w:rsidP="0051175C">
      <w:pPr>
        <w:spacing w:after="0" w:line="240" w:lineRule="auto"/>
        <w:jc w:val="both"/>
        <w:rPr>
          <w:rFonts w:ascii="Times New Roman" w:eastAsia="Times New Roman" w:hAnsi="Times New Roman" w:cs="Times New Roman"/>
          <w:kern w:val="0"/>
          <w14:ligatures w14:val="none"/>
        </w:rPr>
      </w:pPr>
    </w:p>
    <w:p w14:paraId="4AAF11A4" w14:textId="0FFB96BF" w:rsidR="003A254A" w:rsidRPr="00D52A49" w:rsidRDefault="003A254A" w:rsidP="00610A75">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The framework focuses on two outcome domains aligned with the research questions. The first domain is language proficiency, which includes </w:t>
      </w:r>
      <w:r w:rsidR="00610A75" w:rsidRPr="00D52A49">
        <w:rPr>
          <w:rFonts w:ascii="Times New Roman" w:eastAsia="Times New Roman" w:hAnsi="Times New Roman" w:cs="Times New Roman"/>
          <w:kern w:val="0"/>
          <w14:ligatures w14:val="none"/>
        </w:rPr>
        <w:t>learners</w:t>
      </w:r>
      <w:r w:rsidRPr="00D52A49">
        <w:rPr>
          <w:rFonts w:ascii="Times New Roman" w:eastAsia="Times New Roman" w:hAnsi="Times New Roman" w:cs="Times New Roman"/>
          <w:kern w:val="0"/>
          <w14:ligatures w14:val="none"/>
        </w:rPr>
        <w:t xml:space="preserve"> perceived development in listening, speaking, reading, writing and translation. The second domain is learning processes, which </w:t>
      </w:r>
      <w:r w:rsidR="00474B27" w:rsidRPr="00D52A49">
        <w:rPr>
          <w:rFonts w:ascii="Times New Roman" w:eastAsia="Times New Roman" w:hAnsi="Times New Roman" w:cs="Times New Roman"/>
          <w:kern w:val="0"/>
          <w14:ligatures w14:val="none"/>
        </w:rPr>
        <w:t>include</w:t>
      </w:r>
      <w:r w:rsidRPr="00D52A49">
        <w:rPr>
          <w:rFonts w:ascii="Times New Roman" w:eastAsia="Times New Roman" w:hAnsi="Times New Roman" w:cs="Times New Roman"/>
          <w:kern w:val="0"/>
          <w14:ligatures w14:val="none"/>
        </w:rPr>
        <w:t xml:space="preserve"> cognitive development such as vocabulary acquisition, sentence structure and knowledge retention, as well as active learning such as motivation, engagement and participation.</w:t>
      </w:r>
    </w:p>
    <w:p w14:paraId="2CE46B3D" w14:textId="77777777" w:rsidR="00610A75" w:rsidRDefault="00610A75" w:rsidP="0051175C">
      <w:pPr>
        <w:spacing w:after="0" w:line="240" w:lineRule="auto"/>
        <w:jc w:val="both"/>
        <w:rPr>
          <w:rFonts w:ascii="Times New Roman" w:eastAsia="Times New Roman" w:hAnsi="Times New Roman" w:cs="Times New Roman"/>
          <w:kern w:val="0"/>
          <w14:ligatures w14:val="none"/>
        </w:rPr>
      </w:pPr>
    </w:p>
    <w:p w14:paraId="39449CD1" w14:textId="5010BB0B"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Learners’ perceptions serve as the lens through which these outcomes are examined. The study does not measure actual performance but investigates how learners perceive the impact of POA-based instruction on their language development and learning experiences. Within this framework, POA is implemented through the phases of motivating, enabling and assessing, which support both language proficiency and learning processes as reflected in learners’ perceptions.</w:t>
      </w:r>
    </w:p>
    <w:p w14:paraId="6D79B625" w14:textId="77777777" w:rsidR="00610A75" w:rsidRDefault="00610A75" w:rsidP="0051175C">
      <w:pPr>
        <w:spacing w:after="0" w:line="240" w:lineRule="auto"/>
        <w:jc w:val="center"/>
        <w:rPr>
          <w:rFonts w:ascii="Times New Roman" w:eastAsia="Times New Roman" w:hAnsi="Times New Roman" w:cs="Times New Roman"/>
          <w:b/>
          <w:bCs/>
          <w:kern w:val="0"/>
          <w14:ligatures w14:val="none"/>
        </w:rPr>
      </w:pPr>
    </w:p>
    <w:p w14:paraId="5F5817DC" w14:textId="77777777" w:rsidR="00D713BC" w:rsidRDefault="00D713BC" w:rsidP="0051175C">
      <w:pPr>
        <w:spacing w:after="0" w:line="240" w:lineRule="auto"/>
        <w:jc w:val="center"/>
        <w:rPr>
          <w:rFonts w:ascii="Times New Roman" w:eastAsia="Times New Roman" w:hAnsi="Times New Roman" w:cs="Times New Roman"/>
          <w:b/>
          <w:bCs/>
          <w:kern w:val="0"/>
          <w14:ligatures w14:val="none"/>
        </w:rPr>
      </w:pPr>
    </w:p>
    <w:p w14:paraId="470283B2" w14:textId="77777777" w:rsidR="00610A75" w:rsidRDefault="00610A75" w:rsidP="0051175C">
      <w:pPr>
        <w:spacing w:after="0" w:line="240" w:lineRule="auto"/>
        <w:jc w:val="center"/>
        <w:rPr>
          <w:rFonts w:ascii="Times New Roman" w:eastAsia="Times New Roman" w:hAnsi="Times New Roman" w:cs="Times New Roman"/>
          <w:b/>
          <w:bCs/>
          <w:kern w:val="0"/>
          <w14:ligatures w14:val="none"/>
        </w:rPr>
      </w:pPr>
    </w:p>
    <w:p w14:paraId="1840D3DF" w14:textId="31F147C2" w:rsidR="003A254A" w:rsidRDefault="00D713BC" w:rsidP="0051175C">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MATERIAL AND METHODS</w:t>
      </w:r>
    </w:p>
    <w:p w14:paraId="16FECBA0" w14:textId="77777777" w:rsidR="007B0BC3" w:rsidRPr="00D52A49" w:rsidRDefault="007B0BC3" w:rsidP="0051175C">
      <w:pPr>
        <w:spacing w:after="0" w:line="240" w:lineRule="auto"/>
        <w:jc w:val="center"/>
        <w:rPr>
          <w:rFonts w:ascii="Times New Roman" w:eastAsia="Times New Roman" w:hAnsi="Times New Roman" w:cs="Times New Roman"/>
          <w:b/>
          <w:bCs/>
          <w:kern w:val="0"/>
          <w14:ligatures w14:val="none"/>
        </w:rPr>
      </w:pPr>
    </w:p>
    <w:p w14:paraId="0A0CD29B" w14:textId="77777777" w:rsidR="003A254A" w:rsidRPr="00E246A1" w:rsidRDefault="003A254A"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Research Design and Participants</w:t>
      </w:r>
    </w:p>
    <w:p w14:paraId="28F82774" w14:textId="77777777"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study employed a survey research design to examine beginner-level Chinese as a Foreign Language (CFL) learners’ perception of the Production-Oriented Approach (POA) in a Malaysian public university. The study focuses on learners’ self-reported perceptions rather than direct measurement of language performance. Instruction was structured around the three phases of POA, namely motivating, enabling and assessing, with an emphasis on communicative tasks, scaffolded input and active learner participation to ensure alignment between the instructional approach, research questions and data collected.</w:t>
      </w:r>
    </w:p>
    <w:p w14:paraId="54100952" w14:textId="77777777" w:rsidR="001364D8" w:rsidRDefault="001364D8" w:rsidP="0051175C">
      <w:pPr>
        <w:spacing w:after="0" w:line="240" w:lineRule="auto"/>
        <w:jc w:val="both"/>
        <w:rPr>
          <w:rFonts w:ascii="Times New Roman" w:eastAsia="Times New Roman" w:hAnsi="Times New Roman" w:cs="Times New Roman"/>
          <w:kern w:val="0"/>
          <w14:ligatures w14:val="none"/>
        </w:rPr>
      </w:pPr>
    </w:p>
    <w:p w14:paraId="530E47E2" w14:textId="7B6B079D" w:rsidR="003A254A" w:rsidRPr="00D52A49" w:rsidRDefault="003A254A" w:rsidP="001364D8">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Participants were beginner-level CFL learners enrolled in a Level 1 Chinese course over a 14-week semester. All students registered </w:t>
      </w:r>
      <w:r w:rsidR="00474B27" w:rsidRPr="00D52A49">
        <w:rPr>
          <w:rFonts w:ascii="Times New Roman" w:eastAsia="Times New Roman" w:hAnsi="Times New Roman" w:cs="Times New Roman"/>
          <w:kern w:val="0"/>
          <w14:ligatures w14:val="none"/>
        </w:rPr>
        <w:t>on</w:t>
      </w:r>
      <w:r w:rsidRPr="00D52A49">
        <w:rPr>
          <w:rFonts w:ascii="Times New Roman" w:eastAsia="Times New Roman" w:hAnsi="Times New Roman" w:cs="Times New Roman"/>
          <w:kern w:val="0"/>
          <w14:ligatures w14:val="none"/>
        </w:rPr>
        <w:t xml:space="preserve"> the course were invited to participate, and those who agreed completed the questionnaire at the end of the semester. All participants were treated as beginner-level learners regardless of prior exposure to Chinese to maintain consistency in the analysis. Participation was voluntary, and responses were kept confidential.</w:t>
      </w:r>
      <w:r w:rsidR="007A3291" w:rsidRPr="00D52A49">
        <w:rPr>
          <w:rFonts w:ascii="Times New Roman" w:hAnsi="Times New Roman" w:cs="Times New Roman"/>
        </w:rPr>
        <w:t xml:space="preserve"> </w:t>
      </w:r>
      <w:r w:rsidR="007A3291" w:rsidRPr="00D52A49">
        <w:rPr>
          <w:rFonts w:ascii="Times New Roman" w:eastAsia="Times New Roman" w:hAnsi="Times New Roman" w:cs="Times New Roman"/>
          <w:kern w:val="0"/>
          <w14:ligatures w14:val="none"/>
        </w:rPr>
        <w:t>Ethical approval was obtained from the relevant institutional body, and informed consent was obtained from all participants prior to data collection.</w:t>
      </w:r>
    </w:p>
    <w:p w14:paraId="4F420DD2" w14:textId="77777777" w:rsidR="001364D8" w:rsidRDefault="001364D8" w:rsidP="0051175C">
      <w:pPr>
        <w:spacing w:after="0" w:line="240" w:lineRule="auto"/>
        <w:jc w:val="both"/>
        <w:rPr>
          <w:rFonts w:ascii="Times New Roman" w:eastAsia="Times New Roman" w:hAnsi="Times New Roman" w:cs="Times New Roman"/>
          <w:b/>
          <w:bCs/>
          <w:i/>
          <w:iCs/>
          <w:kern w:val="0"/>
          <w14:ligatures w14:val="none"/>
        </w:rPr>
      </w:pPr>
    </w:p>
    <w:p w14:paraId="65E89286" w14:textId="388E899D" w:rsidR="003A254A" w:rsidRPr="00E246A1" w:rsidRDefault="003A254A"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Instructional Context (POA Implementation)</w:t>
      </w:r>
    </w:p>
    <w:p w14:paraId="264A0E53" w14:textId="31EC215C"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Course delivery followed the POA framework through the phases of motivating, enabling and assessing. In the motivating phase, students engaged in small group discussions based on instructor-guided questions, typically without reference materials, to activate prior knowledge and identify learning gaps. In the enabling phase, the instructor provided focused input supported by selected materials and progressively structured tasks designed to scaffold language use and develop vocabulary and sentence structures. In the assessing phase, students completed formative and summative tasks, including in-class activities, oral and written presentations, quizzes and written assessments, with feedback from both instructor and peers to support reflection and active language use. This instructional design reflects the integration of learning and </w:t>
      </w:r>
      <w:r w:rsidR="00474B27" w:rsidRPr="00D52A49">
        <w:rPr>
          <w:rFonts w:ascii="Times New Roman" w:eastAsia="Times New Roman" w:hAnsi="Times New Roman" w:cs="Times New Roman"/>
          <w:kern w:val="0"/>
          <w14:ligatures w14:val="none"/>
        </w:rPr>
        <w:t>uses</w:t>
      </w:r>
      <w:r w:rsidRPr="00D52A49">
        <w:rPr>
          <w:rFonts w:ascii="Times New Roman" w:eastAsia="Times New Roman" w:hAnsi="Times New Roman" w:cs="Times New Roman"/>
          <w:kern w:val="0"/>
          <w14:ligatures w14:val="none"/>
        </w:rPr>
        <w:t xml:space="preserve"> central to POA.</w:t>
      </w:r>
    </w:p>
    <w:p w14:paraId="428FE2D9" w14:textId="77777777" w:rsidR="001364D8" w:rsidRDefault="001364D8" w:rsidP="0051175C">
      <w:pPr>
        <w:spacing w:after="0" w:line="240" w:lineRule="auto"/>
        <w:jc w:val="both"/>
        <w:rPr>
          <w:rFonts w:ascii="Times New Roman" w:eastAsia="Times New Roman" w:hAnsi="Times New Roman" w:cs="Times New Roman"/>
          <w:b/>
          <w:bCs/>
          <w:i/>
          <w:iCs/>
          <w:kern w:val="0"/>
          <w14:ligatures w14:val="none"/>
        </w:rPr>
      </w:pPr>
    </w:p>
    <w:p w14:paraId="0214525C" w14:textId="34191D90" w:rsidR="003A254A" w:rsidRPr="00E246A1" w:rsidRDefault="003A254A" w:rsidP="0051175C">
      <w:pPr>
        <w:spacing w:after="0" w:line="240" w:lineRule="auto"/>
        <w:jc w:val="both"/>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Data Collection and Analysis</w:t>
      </w:r>
    </w:p>
    <w:p w14:paraId="60A83C7B" w14:textId="77777777"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Data were collected through an online questionnaire administered via Google Forms at the end of the 14-week course. The instrument consisted of two sections. The quantitative section included demographic items and Likert scale statements with five response options ranging from strongly disagree to strongly agree. These items examined learners’ perceptions in two areas aligned with the research questions: language proficiency, including reading, writing, translation, sentence construction, listening and speaking, and learning processes, including cognitive development such as vocabulary acquisition, sentence structure and knowledge retention, as well as active learning such as motivation, engagement and participation. The qualitative section consisted of open-ended questions inviting students to describe their learning experiences, identify strengths and limitations, suggest improvements and reflect on changes in motivation and confidence.</w:t>
      </w:r>
    </w:p>
    <w:p w14:paraId="4EE44D20" w14:textId="77777777" w:rsidR="001364D8" w:rsidRDefault="001364D8" w:rsidP="0051175C">
      <w:pPr>
        <w:spacing w:after="0" w:line="240" w:lineRule="auto"/>
        <w:jc w:val="both"/>
        <w:rPr>
          <w:rFonts w:ascii="Times New Roman" w:eastAsia="Times New Roman" w:hAnsi="Times New Roman" w:cs="Times New Roman"/>
          <w:kern w:val="0"/>
          <w14:ligatures w14:val="none"/>
        </w:rPr>
      </w:pPr>
    </w:p>
    <w:p w14:paraId="31252935" w14:textId="24FE67E4" w:rsidR="003A254A" w:rsidRDefault="00AF2DCE" w:rsidP="001364D8">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The questionnaire was adapted from an established instrument in previous research (Liu, 2024) and refined to ensure clarity, relevance, and consistency in capturing learners’ </w:t>
      </w:r>
      <w:r w:rsidR="00474B27" w:rsidRPr="00D52A49">
        <w:rPr>
          <w:rFonts w:ascii="Times New Roman" w:eastAsia="Times New Roman" w:hAnsi="Times New Roman" w:cs="Times New Roman"/>
          <w:kern w:val="0"/>
          <w14:ligatures w14:val="none"/>
        </w:rPr>
        <w:t>perceptions. Quantitative</w:t>
      </w:r>
      <w:r w:rsidR="003A254A" w:rsidRPr="00D52A49">
        <w:rPr>
          <w:rFonts w:ascii="Times New Roman" w:eastAsia="Times New Roman" w:hAnsi="Times New Roman" w:cs="Times New Roman"/>
          <w:kern w:val="0"/>
          <w14:ligatures w14:val="none"/>
        </w:rPr>
        <w:t xml:space="preserve"> data were analyzed using descriptive statistics, including frequencies, means and standard deviations, to identify patterns in learners’ perceptions. Pearson correlation analysis was conducted to examine relationships between perceived language proficiency and learning processes. These analyses focused on identifying associations rather than establishing causal relationships. Qualitative data were analyzed thematically through repeated reading, coding and grouping responses into themes related to perceived benefits, challenges and suggestions. The qualitative findings were used to complement and enrich the quantitative results.</w:t>
      </w:r>
    </w:p>
    <w:p w14:paraId="0069C98B" w14:textId="77777777" w:rsidR="001364D8" w:rsidRDefault="001364D8" w:rsidP="001364D8">
      <w:pPr>
        <w:spacing w:after="0" w:line="240" w:lineRule="auto"/>
        <w:ind w:firstLine="720"/>
        <w:jc w:val="both"/>
        <w:rPr>
          <w:rFonts w:ascii="Times New Roman" w:eastAsia="Times New Roman" w:hAnsi="Times New Roman" w:cs="Times New Roman"/>
          <w:kern w:val="0"/>
          <w14:ligatures w14:val="none"/>
        </w:rPr>
      </w:pPr>
    </w:p>
    <w:p w14:paraId="09D393A5" w14:textId="77777777" w:rsidR="00D713BC" w:rsidRDefault="00D713BC" w:rsidP="00D713BC">
      <w:pPr>
        <w:spacing w:after="0" w:line="240" w:lineRule="auto"/>
        <w:ind w:firstLine="720"/>
        <w:jc w:val="center"/>
        <w:rPr>
          <w:rFonts w:ascii="Times New Roman" w:eastAsia="Times New Roman" w:hAnsi="Times New Roman" w:cs="Times New Roman"/>
          <w:kern w:val="0"/>
          <w14:ligatures w14:val="none"/>
        </w:rPr>
      </w:pPr>
    </w:p>
    <w:p w14:paraId="54FD7132" w14:textId="77777777" w:rsidR="001364D8" w:rsidRPr="00D52A49" w:rsidRDefault="001364D8" w:rsidP="00D713BC">
      <w:pPr>
        <w:spacing w:after="0" w:line="240" w:lineRule="auto"/>
        <w:ind w:firstLine="720"/>
        <w:jc w:val="center"/>
        <w:rPr>
          <w:rFonts w:ascii="Times New Roman" w:eastAsia="Times New Roman" w:hAnsi="Times New Roman" w:cs="Times New Roman"/>
          <w:kern w:val="0"/>
          <w14:ligatures w14:val="none"/>
        </w:rPr>
      </w:pPr>
    </w:p>
    <w:p w14:paraId="79AA9DA8" w14:textId="77777777" w:rsidR="003A254A" w:rsidRPr="00D52A49" w:rsidRDefault="003A254A" w:rsidP="0051175C">
      <w:pPr>
        <w:spacing w:after="0" w:line="240" w:lineRule="auto"/>
        <w:jc w:val="center"/>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RESULTS AND DISCUSSION</w:t>
      </w:r>
    </w:p>
    <w:p w14:paraId="207DBFE9" w14:textId="77777777" w:rsidR="001364D8" w:rsidRDefault="001364D8" w:rsidP="0051175C">
      <w:pPr>
        <w:spacing w:after="0" w:line="240" w:lineRule="auto"/>
        <w:jc w:val="both"/>
        <w:outlineLvl w:val="1"/>
        <w:rPr>
          <w:rFonts w:ascii="Times New Roman" w:eastAsia="Times New Roman" w:hAnsi="Times New Roman" w:cs="Times New Roman"/>
          <w:b/>
          <w:bCs/>
          <w:i/>
          <w:iCs/>
          <w:kern w:val="0"/>
          <w14:ligatures w14:val="none"/>
        </w:rPr>
      </w:pPr>
    </w:p>
    <w:p w14:paraId="216F3A35" w14:textId="19EC7CD5" w:rsidR="003A254A" w:rsidRPr="001E6CA8" w:rsidRDefault="003A254A" w:rsidP="0051175C">
      <w:pPr>
        <w:spacing w:after="0" w:line="240" w:lineRule="auto"/>
        <w:jc w:val="both"/>
        <w:outlineLvl w:val="1"/>
        <w:rPr>
          <w:rFonts w:ascii="Times New Roman" w:eastAsia="Times New Roman" w:hAnsi="Times New Roman" w:cs="Times New Roman"/>
          <w:b/>
          <w:bCs/>
          <w:kern w:val="0"/>
          <w14:ligatures w14:val="none"/>
        </w:rPr>
      </w:pPr>
      <w:r w:rsidRPr="001E6CA8">
        <w:rPr>
          <w:rFonts w:ascii="Times New Roman" w:eastAsia="Times New Roman" w:hAnsi="Times New Roman" w:cs="Times New Roman"/>
          <w:b/>
          <w:bCs/>
          <w:kern w:val="0"/>
          <w14:ligatures w14:val="none"/>
        </w:rPr>
        <w:t>Participants’ Background</w:t>
      </w:r>
    </w:p>
    <w:p w14:paraId="197B54A0" w14:textId="1FFE746E" w:rsidR="007A3291" w:rsidRPr="00D52A49" w:rsidRDefault="007A3291" w:rsidP="0051175C">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A total of 140 beginner-level students enrolled in a Level 1 Chinese as a Foreign Language (CFL) course participated in this study. The sample was predominantly female (82.9%), while male students accounted for 17.1%. Most participants were aged 21 (40.0%), followed by 22 (34.3%) and 23 (13.6%). </w:t>
      </w:r>
      <w:r w:rsidR="00474B27" w:rsidRPr="00D52A49">
        <w:rPr>
          <w:rFonts w:ascii="Times New Roman" w:eastAsia="Times New Roman" w:hAnsi="Times New Roman" w:cs="Times New Roman"/>
          <w:kern w:val="0"/>
          <w14:ligatures w14:val="none"/>
        </w:rPr>
        <w:t>Most</w:t>
      </w:r>
      <w:r w:rsidRPr="00D52A49">
        <w:rPr>
          <w:rFonts w:ascii="Times New Roman" w:eastAsia="Times New Roman" w:hAnsi="Times New Roman" w:cs="Times New Roman"/>
          <w:kern w:val="0"/>
          <w14:ligatures w14:val="none"/>
        </w:rPr>
        <w:t xml:space="preserve"> respondents were Malay (84.3%), with smaller proportions of Indian students (11.4%) and other ethnic groups. Most participants (73.6%) reported no prior exposure to Chinese. All respondents were treated as beginner-level CFL learners to maintain consistency in the analysis.</w:t>
      </w:r>
    </w:p>
    <w:p w14:paraId="4E174F41" w14:textId="77777777" w:rsidR="001364D8" w:rsidRDefault="001364D8" w:rsidP="0051175C">
      <w:pPr>
        <w:spacing w:after="0" w:line="240" w:lineRule="auto"/>
        <w:jc w:val="both"/>
        <w:outlineLvl w:val="1"/>
        <w:rPr>
          <w:rFonts w:ascii="Times New Roman" w:eastAsia="Times New Roman" w:hAnsi="Times New Roman" w:cs="Times New Roman"/>
          <w:b/>
          <w:bCs/>
          <w:i/>
          <w:iCs/>
          <w:kern w:val="0"/>
          <w14:ligatures w14:val="none"/>
        </w:rPr>
      </w:pPr>
    </w:p>
    <w:p w14:paraId="28885A31" w14:textId="5B61B2DA" w:rsidR="003A254A" w:rsidRPr="00E246A1" w:rsidRDefault="003A254A" w:rsidP="0051175C">
      <w:pPr>
        <w:spacing w:after="0" w:line="240" w:lineRule="auto"/>
        <w:jc w:val="both"/>
        <w:outlineLvl w:val="1"/>
        <w:rPr>
          <w:rFonts w:ascii="Times New Roman" w:eastAsia="Times New Roman" w:hAnsi="Times New Roman" w:cs="Times New Roman"/>
          <w:b/>
          <w:bCs/>
          <w:kern w:val="0"/>
          <w14:ligatures w14:val="none"/>
        </w:rPr>
      </w:pPr>
      <w:r w:rsidRPr="00E246A1">
        <w:rPr>
          <w:rFonts w:ascii="Times New Roman" w:eastAsia="Times New Roman" w:hAnsi="Times New Roman" w:cs="Times New Roman"/>
          <w:b/>
          <w:bCs/>
          <w:kern w:val="0"/>
          <w14:ligatures w14:val="none"/>
        </w:rPr>
        <w:t>Perceived Impact of POA on Language Proficiency (RQ1)</w:t>
      </w:r>
    </w:p>
    <w:p w14:paraId="36875251" w14:textId="77777777" w:rsidR="003B1A63" w:rsidRPr="00D52A49" w:rsidRDefault="003B1A63" w:rsidP="003B1A63">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Table 1 presents students’ perceptions of the impact of POA on Chinese language proficiency. Overall, students reported positive perceptions across all language skills, with mean scores ranging from 3.84 to 4.19. However, a clear pattern emerges in which literacy-related and structured skills, including reading and writing (mean = 4.19), as well as translation and sentence construction (mean = 4.16), are perceived as developing more strongly than speaking (mean = 3.88) and listening (mean = 3.84).</w:t>
      </w:r>
    </w:p>
    <w:p w14:paraId="22EB4373" w14:textId="77777777" w:rsidR="003B1A63" w:rsidRDefault="003B1A63" w:rsidP="0051175C">
      <w:pPr>
        <w:spacing w:after="0" w:line="240" w:lineRule="auto"/>
        <w:jc w:val="both"/>
        <w:outlineLvl w:val="1"/>
        <w:rPr>
          <w:rFonts w:ascii="Times New Roman" w:eastAsia="Times New Roman" w:hAnsi="Times New Roman" w:cs="Times New Roman"/>
          <w:b/>
          <w:bCs/>
          <w:kern w:val="0"/>
          <w14:ligatures w14:val="none"/>
        </w:rPr>
      </w:pPr>
    </w:p>
    <w:p w14:paraId="22DAE26E" w14:textId="77777777" w:rsidR="00180387" w:rsidRPr="003076F4" w:rsidRDefault="00180387" w:rsidP="00180387">
      <w:pPr>
        <w:spacing w:after="0" w:line="240" w:lineRule="auto"/>
        <w:jc w:val="center"/>
        <w:rPr>
          <w:rFonts w:ascii="Times New Roman" w:eastAsia="Times New Roman" w:hAnsi="Times New Roman" w:cs="Times New Roman"/>
          <w:b/>
          <w:bCs/>
          <w:kern w:val="0"/>
          <w:sz w:val="20"/>
          <w:szCs w:val="20"/>
          <w14:ligatures w14:val="none"/>
        </w:rPr>
      </w:pPr>
      <w:r w:rsidRPr="003076F4">
        <w:rPr>
          <w:rFonts w:ascii="Times New Roman" w:eastAsia="Times New Roman" w:hAnsi="Times New Roman" w:cs="Times New Roman"/>
          <w:b/>
          <w:bCs/>
          <w:kern w:val="0"/>
          <w:sz w:val="20"/>
          <w:szCs w:val="20"/>
          <w14:ligatures w14:val="none"/>
        </w:rPr>
        <w:t>Table 1</w:t>
      </w:r>
    </w:p>
    <w:p w14:paraId="794D3AEF" w14:textId="070B5A38" w:rsidR="00180387" w:rsidRPr="003076F4" w:rsidRDefault="00180387" w:rsidP="00180387">
      <w:pPr>
        <w:spacing w:after="0" w:line="240" w:lineRule="auto"/>
        <w:jc w:val="center"/>
        <w:rPr>
          <w:rFonts w:ascii="Times New Roman" w:eastAsia="Times New Roman" w:hAnsi="Times New Roman" w:cs="Times New Roman"/>
          <w:kern w:val="0"/>
          <w:sz w:val="20"/>
          <w:szCs w:val="20"/>
          <w14:ligatures w14:val="none"/>
        </w:rPr>
      </w:pPr>
      <w:r w:rsidRPr="003076F4">
        <w:rPr>
          <w:rFonts w:ascii="Times New Roman" w:eastAsia="Times New Roman" w:hAnsi="Times New Roman" w:cs="Times New Roman"/>
          <w:kern w:val="0"/>
          <w:sz w:val="20"/>
          <w:szCs w:val="20"/>
          <w14:ligatures w14:val="none"/>
        </w:rPr>
        <w:t>Students’ Perceptions of POA on Chinese Language Proficiency</w:t>
      </w:r>
    </w:p>
    <w:tbl>
      <w:tblPr>
        <w:tblStyle w:val="TableGrid"/>
        <w:tblW w:w="953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2430"/>
        <w:gridCol w:w="990"/>
        <w:gridCol w:w="990"/>
        <w:gridCol w:w="900"/>
        <w:gridCol w:w="810"/>
        <w:gridCol w:w="990"/>
        <w:gridCol w:w="720"/>
        <w:gridCol w:w="1170"/>
      </w:tblGrid>
      <w:tr w:rsidR="003A254A" w:rsidRPr="003076F4" w14:paraId="61FA2E87" w14:textId="77777777" w:rsidTr="00C00388">
        <w:tc>
          <w:tcPr>
            <w:tcW w:w="535" w:type="dxa"/>
            <w:tcBorders>
              <w:bottom w:val="single" w:sz="4" w:space="0" w:color="auto"/>
            </w:tcBorders>
          </w:tcPr>
          <w:p w14:paraId="11F8C586"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No.</w:t>
            </w:r>
          </w:p>
        </w:tc>
        <w:tc>
          <w:tcPr>
            <w:tcW w:w="2430" w:type="dxa"/>
            <w:tcBorders>
              <w:bottom w:val="single" w:sz="4" w:space="0" w:color="auto"/>
            </w:tcBorders>
          </w:tcPr>
          <w:p w14:paraId="0FBE503E"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Item</w:t>
            </w:r>
          </w:p>
        </w:tc>
        <w:tc>
          <w:tcPr>
            <w:tcW w:w="990" w:type="dxa"/>
            <w:tcBorders>
              <w:bottom w:val="single" w:sz="4" w:space="0" w:color="auto"/>
            </w:tcBorders>
          </w:tcPr>
          <w:p w14:paraId="13191499"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Strongly Disagree</w:t>
            </w:r>
          </w:p>
        </w:tc>
        <w:tc>
          <w:tcPr>
            <w:tcW w:w="990" w:type="dxa"/>
            <w:tcBorders>
              <w:bottom w:val="single" w:sz="4" w:space="0" w:color="auto"/>
            </w:tcBorders>
          </w:tcPr>
          <w:p w14:paraId="4437DC4B"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Disagree</w:t>
            </w:r>
          </w:p>
        </w:tc>
        <w:tc>
          <w:tcPr>
            <w:tcW w:w="900" w:type="dxa"/>
            <w:tcBorders>
              <w:bottom w:val="single" w:sz="4" w:space="0" w:color="auto"/>
            </w:tcBorders>
          </w:tcPr>
          <w:p w14:paraId="2E0AF141"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Neutral</w:t>
            </w:r>
          </w:p>
        </w:tc>
        <w:tc>
          <w:tcPr>
            <w:tcW w:w="810" w:type="dxa"/>
            <w:tcBorders>
              <w:bottom w:val="single" w:sz="4" w:space="0" w:color="auto"/>
            </w:tcBorders>
          </w:tcPr>
          <w:p w14:paraId="74D61371"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Agree</w:t>
            </w:r>
          </w:p>
        </w:tc>
        <w:tc>
          <w:tcPr>
            <w:tcW w:w="990" w:type="dxa"/>
            <w:tcBorders>
              <w:bottom w:val="single" w:sz="4" w:space="0" w:color="auto"/>
            </w:tcBorders>
          </w:tcPr>
          <w:p w14:paraId="53B4C52B"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Strongly Agree</w:t>
            </w:r>
          </w:p>
        </w:tc>
        <w:tc>
          <w:tcPr>
            <w:tcW w:w="720" w:type="dxa"/>
            <w:tcBorders>
              <w:bottom w:val="single" w:sz="4" w:space="0" w:color="auto"/>
            </w:tcBorders>
          </w:tcPr>
          <w:p w14:paraId="58FCEAD8"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Mean</w:t>
            </w:r>
          </w:p>
        </w:tc>
        <w:tc>
          <w:tcPr>
            <w:tcW w:w="1170" w:type="dxa"/>
            <w:tcBorders>
              <w:bottom w:val="single" w:sz="4" w:space="0" w:color="auto"/>
            </w:tcBorders>
          </w:tcPr>
          <w:p w14:paraId="79CA53B5" w14:textId="77777777" w:rsidR="003A254A" w:rsidRPr="003076F4" w:rsidRDefault="003A254A" w:rsidP="0051175C">
            <w:pPr>
              <w:jc w:val="center"/>
              <w:rPr>
                <w:rFonts w:ascii="Times New Roman" w:hAnsi="Times New Roman" w:cs="Times New Roman"/>
                <w:b/>
                <w:bCs/>
                <w:sz w:val="20"/>
                <w:szCs w:val="20"/>
              </w:rPr>
            </w:pPr>
            <w:r w:rsidRPr="003076F4">
              <w:rPr>
                <w:rFonts w:ascii="Times New Roman" w:hAnsi="Times New Roman" w:cs="Times New Roman"/>
                <w:b/>
                <w:bCs/>
                <w:sz w:val="20"/>
                <w:szCs w:val="20"/>
              </w:rPr>
              <w:t>Standard Deviation</w:t>
            </w:r>
          </w:p>
        </w:tc>
      </w:tr>
      <w:tr w:rsidR="003A254A" w:rsidRPr="003076F4" w14:paraId="2B61EE9D" w14:textId="77777777" w:rsidTr="00C00388">
        <w:tc>
          <w:tcPr>
            <w:tcW w:w="535" w:type="dxa"/>
            <w:tcBorders>
              <w:top w:val="single" w:sz="4" w:space="0" w:color="auto"/>
              <w:bottom w:val="single" w:sz="4" w:space="0" w:color="auto"/>
            </w:tcBorders>
          </w:tcPr>
          <w:p w14:paraId="55D7E0E9"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w:t>
            </w:r>
          </w:p>
        </w:tc>
        <w:tc>
          <w:tcPr>
            <w:tcW w:w="2430" w:type="dxa"/>
            <w:tcBorders>
              <w:top w:val="single" w:sz="4" w:space="0" w:color="auto"/>
              <w:bottom w:val="single" w:sz="4" w:space="0" w:color="auto"/>
            </w:tcBorders>
          </w:tcPr>
          <w:p w14:paraId="55DC2BC0"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that the teaching method used in this course helps me to practice Chinese writing.</w:t>
            </w:r>
          </w:p>
        </w:tc>
        <w:tc>
          <w:tcPr>
            <w:tcW w:w="990" w:type="dxa"/>
            <w:tcBorders>
              <w:top w:val="single" w:sz="4" w:space="0" w:color="auto"/>
              <w:bottom w:val="single" w:sz="4" w:space="0" w:color="auto"/>
            </w:tcBorders>
          </w:tcPr>
          <w:p w14:paraId="7A874E2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w:t>
            </w:r>
          </w:p>
        </w:tc>
        <w:tc>
          <w:tcPr>
            <w:tcW w:w="990" w:type="dxa"/>
            <w:tcBorders>
              <w:top w:val="single" w:sz="4" w:space="0" w:color="auto"/>
              <w:bottom w:val="single" w:sz="4" w:space="0" w:color="auto"/>
            </w:tcBorders>
          </w:tcPr>
          <w:p w14:paraId="33CEDDA1"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w:t>
            </w:r>
          </w:p>
        </w:tc>
        <w:tc>
          <w:tcPr>
            <w:tcW w:w="900" w:type="dxa"/>
            <w:tcBorders>
              <w:top w:val="single" w:sz="4" w:space="0" w:color="auto"/>
              <w:bottom w:val="single" w:sz="4" w:space="0" w:color="auto"/>
            </w:tcBorders>
          </w:tcPr>
          <w:p w14:paraId="221935D8"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19.3%</w:t>
            </w:r>
          </w:p>
        </w:tc>
        <w:tc>
          <w:tcPr>
            <w:tcW w:w="810" w:type="dxa"/>
            <w:tcBorders>
              <w:top w:val="single" w:sz="4" w:space="0" w:color="auto"/>
              <w:bottom w:val="single" w:sz="4" w:space="0" w:color="auto"/>
            </w:tcBorders>
          </w:tcPr>
          <w:p w14:paraId="3C335677"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37.9%</w:t>
            </w:r>
          </w:p>
        </w:tc>
        <w:tc>
          <w:tcPr>
            <w:tcW w:w="990" w:type="dxa"/>
            <w:tcBorders>
              <w:top w:val="single" w:sz="4" w:space="0" w:color="auto"/>
              <w:bottom w:val="single" w:sz="4" w:space="0" w:color="auto"/>
            </w:tcBorders>
          </w:tcPr>
          <w:p w14:paraId="1888F983"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41.4%</w:t>
            </w:r>
          </w:p>
        </w:tc>
        <w:tc>
          <w:tcPr>
            <w:tcW w:w="720" w:type="dxa"/>
            <w:tcBorders>
              <w:top w:val="single" w:sz="4" w:space="0" w:color="auto"/>
              <w:bottom w:val="single" w:sz="4" w:space="0" w:color="auto"/>
            </w:tcBorders>
          </w:tcPr>
          <w:p w14:paraId="59D8C7B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4.19</w:t>
            </w:r>
          </w:p>
        </w:tc>
        <w:tc>
          <w:tcPr>
            <w:tcW w:w="1170" w:type="dxa"/>
            <w:tcBorders>
              <w:top w:val="single" w:sz="4" w:space="0" w:color="auto"/>
              <w:bottom w:val="single" w:sz="4" w:space="0" w:color="auto"/>
            </w:tcBorders>
          </w:tcPr>
          <w:p w14:paraId="6C73A3DB"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0.82</w:t>
            </w:r>
          </w:p>
        </w:tc>
      </w:tr>
      <w:tr w:rsidR="003A254A" w:rsidRPr="003076F4" w14:paraId="1E4AC479" w14:textId="77777777" w:rsidTr="00C00388">
        <w:tc>
          <w:tcPr>
            <w:tcW w:w="535" w:type="dxa"/>
            <w:tcBorders>
              <w:top w:val="single" w:sz="4" w:space="0" w:color="auto"/>
              <w:bottom w:val="single" w:sz="4" w:space="0" w:color="auto"/>
            </w:tcBorders>
          </w:tcPr>
          <w:p w14:paraId="670BBFCB"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w:t>
            </w:r>
          </w:p>
        </w:tc>
        <w:tc>
          <w:tcPr>
            <w:tcW w:w="2430" w:type="dxa"/>
            <w:tcBorders>
              <w:top w:val="single" w:sz="4" w:space="0" w:color="auto"/>
              <w:bottom w:val="single" w:sz="4" w:space="0" w:color="auto"/>
            </w:tcBorders>
          </w:tcPr>
          <w:p w14:paraId="48C9C8E1"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the teaching method used in this course helps me to practice Chinese reading.</w:t>
            </w:r>
          </w:p>
        </w:tc>
        <w:tc>
          <w:tcPr>
            <w:tcW w:w="990" w:type="dxa"/>
            <w:tcBorders>
              <w:top w:val="single" w:sz="4" w:space="0" w:color="auto"/>
              <w:bottom w:val="single" w:sz="4" w:space="0" w:color="auto"/>
            </w:tcBorders>
          </w:tcPr>
          <w:p w14:paraId="002C3C6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w:t>
            </w:r>
          </w:p>
        </w:tc>
        <w:tc>
          <w:tcPr>
            <w:tcW w:w="990" w:type="dxa"/>
            <w:tcBorders>
              <w:top w:val="single" w:sz="4" w:space="0" w:color="auto"/>
              <w:bottom w:val="single" w:sz="4" w:space="0" w:color="auto"/>
            </w:tcBorders>
          </w:tcPr>
          <w:p w14:paraId="3C16EF86"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1.4%</w:t>
            </w:r>
          </w:p>
        </w:tc>
        <w:tc>
          <w:tcPr>
            <w:tcW w:w="900" w:type="dxa"/>
            <w:tcBorders>
              <w:top w:val="single" w:sz="4" w:space="0" w:color="auto"/>
              <w:bottom w:val="single" w:sz="4" w:space="0" w:color="auto"/>
            </w:tcBorders>
          </w:tcPr>
          <w:p w14:paraId="56EFBDE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20.0%</w:t>
            </w:r>
          </w:p>
        </w:tc>
        <w:tc>
          <w:tcPr>
            <w:tcW w:w="810" w:type="dxa"/>
            <w:tcBorders>
              <w:top w:val="single" w:sz="4" w:space="0" w:color="auto"/>
              <w:bottom w:val="single" w:sz="4" w:space="0" w:color="auto"/>
            </w:tcBorders>
          </w:tcPr>
          <w:p w14:paraId="4655F195"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33.6%</w:t>
            </w:r>
          </w:p>
        </w:tc>
        <w:tc>
          <w:tcPr>
            <w:tcW w:w="990" w:type="dxa"/>
            <w:tcBorders>
              <w:top w:val="single" w:sz="4" w:space="0" w:color="auto"/>
              <w:bottom w:val="single" w:sz="4" w:space="0" w:color="auto"/>
            </w:tcBorders>
          </w:tcPr>
          <w:p w14:paraId="6A21BBB7"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44.3%</w:t>
            </w:r>
          </w:p>
        </w:tc>
        <w:tc>
          <w:tcPr>
            <w:tcW w:w="720" w:type="dxa"/>
            <w:tcBorders>
              <w:top w:val="single" w:sz="4" w:space="0" w:color="auto"/>
              <w:bottom w:val="single" w:sz="4" w:space="0" w:color="auto"/>
            </w:tcBorders>
          </w:tcPr>
          <w:p w14:paraId="2B2B4C79"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4.19</w:t>
            </w:r>
          </w:p>
        </w:tc>
        <w:tc>
          <w:tcPr>
            <w:tcW w:w="1170" w:type="dxa"/>
            <w:tcBorders>
              <w:top w:val="single" w:sz="4" w:space="0" w:color="auto"/>
              <w:bottom w:val="single" w:sz="4" w:space="0" w:color="auto"/>
            </w:tcBorders>
          </w:tcPr>
          <w:p w14:paraId="37219480"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0.85</w:t>
            </w:r>
          </w:p>
        </w:tc>
      </w:tr>
      <w:tr w:rsidR="003A254A" w:rsidRPr="003076F4" w14:paraId="2CC27429" w14:textId="77777777" w:rsidTr="00C00388">
        <w:tc>
          <w:tcPr>
            <w:tcW w:w="535" w:type="dxa"/>
            <w:tcBorders>
              <w:top w:val="single" w:sz="4" w:space="0" w:color="auto"/>
              <w:bottom w:val="single" w:sz="4" w:space="0" w:color="auto"/>
            </w:tcBorders>
          </w:tcPr>
          <w:p w14:paraId="356024D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w:t>
            </w:r>
          </w:p>
        </w:tc>
        <w:tc>
          <w:tcPr>
            <w:tcW w:w="2430" w:type="dxa"/>
            <w:tcBorders>
              <w:top w:val="single" w:sz="4" w:space="0" w:color="auto"/>
              <w:bottom w:val="single" w:sz="4" w:space="0" w:color="auto"/>
            </w:tcBorders>
          </w:tcPr>
          <w:p w14:paraId="4472C9AA"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that the teaching method used in this course helps me to practice Chinese speaking.</w:t>
            </w:r>
          </w:p>
        </w:tc>
        <w:tc>
          <w:tcPr>
            <w:tcW w:w="990" w:type="dxa"/>
            <w:tcBorders>
              <w:top w:val="single" w:sz="4" w:space="0" w:color="auto"/>
              <w:bottom w:val="single" w:sz="4" w:space="0" w:color="auto"/>
            </w:tcBorders>
          </w:tcPr>
          <w:p w14:paraId="02AF4C03"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1.4%</w:t>
            </w:r>
          </w:p>
        </w:tc>
        <w:tc>
          <w:tcPr>
            <w:tcW w:w="990" w:type="dxa"/>
            <w:tcBorders>
              <w:top w:val="single" w:sz="4" w:space="0" w:color="auto"/>
              <w:bottom w:val="single" w:sz="4" w:space="0" w:color="auto"/>
            </w:tcBorders>
          </w:tcPr>
          <w:p w14:paraId="1A03CCF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6.4%</w:t>
            </w:r>
          </w:p>
        </w:tc>
        <w:tc>
          <w:tcPr>
            <w:tcW w:w="900" w:type="dxa"/>
            <w:tcBorders>
              <w:top w:val="single" w:sz="4" w:space="0" w:color="auto"/>
              <w:bottom w:val="single" w:sz="4" w:space="0" w:color="auto"/>
            </w:tcBorders>
          </w:tcPr>
          <w:p w14:paraId="1EDB9460"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26.4%</w:t>
            </w:r>
          </w:p>
        </w:tc>
        <w:tc>
          <w:tcPr>
            <w:tcW w:w="810" w:type="dxa"/>
            <w:tcBorders>
              <w:top w:val="single" w:sz="4" w:space="0" w:color="auto"/>
              <w:bottom w:val="single" w:sz="4" w:space="0" w:color="auto"/>
            </w:tcBorders>
          </w:tcPr>
          <w:p w14:paraId="68D7F386"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34.3%</w:t>
            </w:r>
          </w:p>
        </w:tc>
        <w:tc>
          <w:tcPr>
            <w:tcW w:w="990" w:type="dxa"/>
            <w:tcBorders>
              <w:top w:val="single" w:sz="4" w:space="0" w:color="auto"/>
              <w:bottom w:val="single" w:sz="4" w:space="0" w:color="auto"/>
            </w:tcBorders>
          </w:tcPr>
          <w:p w14:paraId="3FA654EA"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31.4%</w:t>
            </w:r>
          </w:p>
        </w:tc>
        <w:tc>
          <w:tcPr>
            <w:tcW w:w="720" w:type="dxa"/>
            <w:tcBorders>
              <w:top w:val="single" w:sz="4" w:space="0" w:color="auto"/>
              <w:bottom w:val="single" w:sz="4" w:space="0" w:color="auto"/>
            </w:tcBorders>
          </w:tcPr>
          <w:p w14:paraId="6B146AC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3.88</w:t>
            </w:r>
          </w:p>
        </w:tc>
        <w:tc>
          <w:tcPr>
            <w:tcW w:w="1170" w:type="dxa"/>
            <w:tcBorders>
              <w:top w:val="single" w:sz="4" w:space="0" w:color="auto"/>
              <w:bottom w:val="single" w:sz="4" w:space="0" w:color="auto"/>
            </w:tcBorders>
          </w:tcPr>
          <w:p w14:paraId="0952137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0.97</w:t>
            </w:r>
          </w:p>
        </w:tc>
      </w:tr>
      <w:tr w:rsidR="003A254A" w:rsidRPr="003076F4" w14:paraId="50AF746C" w14:textId="77777777" w:rsidTr="00C00388">
        <w:tc>
          <w:tcPr>
            <w:tcW w:w="535" w:type="dxa"/>
            <w:tcBorders>
              <w:top w:val="single" w:sz="4" w:space="0" w:color="auto"/>
              <w:bottom w:val="single" w:sz="4" w:space="0" w:color="auto"/>
            </w:tcBorders>
          </w:tcPr>
          <w:p w14:paraId="3AEF02E4"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w:t>
            </w:r>
          </w:p>
        </w:tc>
        <w:tc>
          <w:tcPr>
            <w:tcW w:w="2430" w:type="dxa"/>
            <w:tcBorders>
              <w:top w:val="single" w:sz="4" w:space="0" w:color="auto"/>
              <w:bottom w:val="single" w:sz="4" w:space="0" w:color="auto"/>
            </w:tcBorders>
          </w:tcPr>
          <w:p w14:paraId="7E4EAEEE"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that the teaching method used in this course helps me to practice Chinese listening.</w:t>
            </w:r>
          </w:p>
        </w:tc>
        <w:tc>
          <w:tcPr>
            <w:tcW w:w="990" w:type="dxa"/>
            <w:tcBorders>
              <w:top w:val="single" w:sz="4" w:space="0" w:color="auto"/>
              <w:bottom w:val="single" w:sz="4" w:space="0" w:color="auto"/>
            </w:tcBorders>
          </w:tcPr>
          <w:p w14:paraId="2B99D2F4"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1.4%</w:t>
            </w:r>
          </w:p>
        </w:tc>
        <w:tc>
          <w:tcPr>
            <w:tcW w:w="990" w:type="dxa"/>
            <w:tcBorders>
              <w:top w:val="single" w:sz="4" w:space="0" w:color="auto"/>
              <w:bottom w:val="single" w:sz="4" w:space="0" w:color="auto"/>
            </w:tcBorders>
          </w:tcPr>
          <w:p w14:paraId="473EA319"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7.1%</w:t>
            </w:r>
          </w:p>
        </w:tc>
        <w:tc>
          <w:tcPr>
            <w:tcW w:w="900" w:type="dxa"/>
            <w:tcBorders>
              <w:top w:val="single" w:sz="4" w:space="0" w:color="auto"/>
              <w:bottom w:val="single" w:sz="4" w:space="0" w:color="auto"/>
            </w:tcBorders>
          </w:tcPr>
          <w:p w14:paraId="4903C25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27.1%</w:t>
            </w:r>
          </w:p>
        </w:tc>
        <w:tc>
          <w:tcPr>
            <w:tcW w:w="810" w:type="dxa"/>
            <w:tcBorders>
              <w:top w:val="single" w:sz="4" w:space="0" w:color="auto"/>
              <w:bottom w:val="single" w:sz="4" w:space="0" w:color="auto"/>
            </w:tcBorders>
          </w:tcPr>
          <w:p w14:paraId="304419D1"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34.3%</w:t>
            </w:r>
          </w:p>
        </w:tc>
        <w:tc>
          <w:tcPr>
            <w:tcW w:w="990" w:type="dxa"/>
            <w:tcBorders>
              <w:top w:val="single" w:sz="4" w:space="0" w:color="auto"/>
              <w:bottom w:val="single" w:sz="4" w:space="0" w:color="auto"/>
            </w:tcBorders>
          </w:tcPr>
          <w:p w14:paraId="3F9F2AF6"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30.0%</w:t>
            </w:r>
          </w:p>
        </w:tc>
        <w:tc>
          <w:tcPr>
            <w:tcW w:w="720" w:type="dxa"/>
            <w:tcBorders>
              <w:top w:val="single" w:sz="4" w:space="0" w:color="auto"/>
              <w:bottom w:val="single" w:sz="4" w:space="0" w:color="auto"/>
            </w:tcBorders>
          </w:tcPr>
          <w:p w14:paraId="583FF682"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3.84</w:t>
            </w:r>
          </w:p>
        </w:tc>
        <w:tc>
          <w:tcPr>
            <w:tcW w:w="1170" w:type="dxa"/>
            <w:tcBorders>
              <w:top w:val="single" w:sz="4" w:space="0" w:color="auto"/>
              <w:bottom w:val="single" w:sz="4" w:space="0" w:color="auto"/>
            </w:tcBorders>
          </w:tcPr>
          <w:p w14:paraId="28E0BC95"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0.98</w:t>
            </w:r>
          </w:p>
        </w:tc>
      </w:tr>
      <w:tr w:rsidR="003A254A" w:rsidRPr="003076F4" w14:paraId="2EDAAC06" w14:textId="77777777" w:rsidTr="00C00388">
        <w:tc>
          <w:tcPr>
            <w:tcW w:w="535" w:type="dxa"/>
            <w:tcBorders>
              <w:top w:val="single" w:sz="4" w:space="0" w:color="auto"/>
              <w:bottom w:val="single" w:sz="4" w:space="0" w:color="auto"/>
            </w:tcBorders>
          </w:tcPr>
          <w:p w14:paraId="76123A55"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5.</w:t>
            </w:r>
          </w:p>
        </w:tc>
        <w:tc>
          <w:tcPr>
            <w:tcW w:w="2430" w:type="dxa"/>
            <w:tcBorders>
              <w:top w:val="single" w:sz="4" w:space="0" w:color="auto"/>
              <w:bottom w:val="single" w:sz="4" w:space="0" w:color="auto"/>
            </w:tcBorders>
          </w:tcPr>
          <w:p w14:paraId="3454CCAF"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that the teaching method used in Chinese course can enhance my ability to do better in oral and written translation task.</w:t>
            </w:r>
          </w:p>
        </w:tc>
        <w:tc>
          <w:tcPr>
            <w:tcW w:w="990" w:type="dxa"/>
            <w:tcBorders>
              <w:top w:val="single" w:sz="4" w:space="0" w:color="auto"/>
              <w:bottom w:val="single" w:sz="4" w:space="0" w:color="auto"/>
            </w:tcBorders>
          </w:tcPr>
          <w:p w14:paraId="343D2E84"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w:t>
            </w:r>
          </w:p>
        </w:tc>
        <w:tc>
          <w:tcPr>
            <w:tcW w:w="990" w:type="dxa"/>
            <w:tcBorders>
              <w:top w:val="single" w:sz="4" w:space="0" w:color="auto"/>
              <w:bottom w:val="single" w:sz="4" w:space="0" w:color="auto"/>
            </w:tcBorders>
          </w:tcPr>
          <w:p w14:paraId="2A2E48B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0.0%</w:t>
            </w:r>
          </w:p>
        </w:tc>
        <w:tc>
          <w:tcPr>
            <w:tcW w:w="900" w:type="dxa"/>
            <w:tcBorders>
              <w:top w:val="single" w:sz="4" w:space="0" w:color="auto"/>
              <w:bottom w:val="single" w:sz="4" w:space="0" w:color="auto"/>
            </w:tcBorders>
          </w:tcPr>
          <w:p w14:paraId="4CA91269"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20.0%</w:t>
            </w:r>
          </w:p>
        </w:tc>
        <w:tc>
          <w:tcPr>
            <w:tcW w:w="810" w:type="dxa"/>
            <w:tcBorders>
              <w:top w:val="single" w:sz="4" w:space="0" w:color="auto"/>
              <w:bottom w:val="single" w:sz="4" w:space="0" w:color="auto"/>
            </w:tcBorders>
          </w:tcPr>
          <w:p w14:paraId="0D34363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41.4%</w:t>
            </w:r>
          </w:p>
        </w:tc>
        <w:tc>
          <w:tcPr>
            <w:tcW w:w="990" w:type="dxa"/>
            <w:tcBorders>
              <w:top w:val="single" w:sz="4" w:space="0" w:color="auto"/>
              <w:bottom w:val="single" w:sz="4" w:space="0" w:color="auto"/>
            </w:tcBorders>
          </w:tcPr>
          <w:p w14:paraId="271191D0"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37.9%</w:t>
            </w:r>
          </w:p>
        </w:tc>
        <w:tc>
          <w:tcPr>
            <w:tcW w:w="720" w:type="dxa"/>
            <w:tcBorders>
              <w:top w:val="single" w:sz="4" w:space="0" w:color="auto"/>
              <w:bottom w:val="single" w:sz="4" w:space="0" w:color="auto"/>
            </w:tcBorders>
          </w:tcPr>
          <w:p w14:paraId="68138F42"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4.16</w:t>
            </w:r>
          </w:p>
        </w:tc>
        <w:tc>
          <w:tcPr>
            <w:tcW w:w="1170" w:type="dxa"/>
            <w:tcBorders>
              <w:top w:val="single" w:sz="4" w:space="0" w:color="auto"/>
              <w:bottom w:val="single" w:sz="4" w:space="0" w:color="auto"/>
            </w:tcBorders>
          </w:tcPr>
          <w:p w14:paraId="516BC7B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0.79</w:t>
            </w:r>
          </w:p>
        </w:tc>
      </w:tr>
      <w:tr w:rsidR="003A254A" w:rsidRPr="003076F4" w14:paraId="3F4787B8" w14:textId="77777777" w:rsidTr="00C00388">
        <w:tc>
          <w:tcPr>
            <w:tcW w:w="535" w:type="dxa"/>
            <w:tcBorders>
              <w:top w:val="single" w:sz="4" w:space="0" w:color="auto"/>
            </w:tcBorders>
          </w:tcPr>
          <w:p w14:paraId="16064084"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6.</w:t>
            </w:r>
          </w:p>
        </w:tc>
        <w:tc>
          <w:tcPr>
            <w:tcW w:w="2430" w:type="dxa"/>
            <w:tcBorders>
              <w:top w:val="single" w:sz="4" w:space="0" w:color="auto"/>
            </w:tcBorders>
          </w:tcPr>
          <w:p w14:paraId="08E5D5BB" w14:textId="77777777" w:rsidR="003A254A" w:rsidRPr="003076F4" w:rsidRDefault="003A254A" w:rsidP="0051175C">
            <w:pPr>
              <w:rPr>
                <w:rFonts w:ascii="Times New Roman" w:hAnsi="Times New Roman" w:cs="Times New Roman"/>
                <w:sz w:val="20"/>
                <w:szCs w:val="20"/>
              </w:rPr>
            </w:pPr>
            <w:r w:rsidRPr="003076F4">
              <w:rPr>
                <w:rFonts w:ascii="Times New Roman" w:hAnsi="Times New Roman" w:cs="Times New Roman"/>
                <w:sz w:val="20"/>
                <w:szCs w:val="20"/>
              </w:rPr>
              <w:t>I believe that the teaching method used in Chinese course helps me in constructing sentences, creating dialogue and writing essay.</w:t>
            </w:r>
          </w:p>
        </w:tc>
        <w:tc>
          <w:tcPr>
            <w:tcW w:w="990" w:type="dxa"/>
            <w:tcBorders>
              <w:top w:val="single" w:sz="4" w:space="0" w:color="auto"/>
            </w:tcBorders>
          </w:tcPr>
          <w:p w14:paraId="74452F3D"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0.7%</w:t>
            </w:r>
          </w:p>
        </w:tc>
        <w:tc>
          <w:tcPr>
            <w:tcW w:w="990" w:type="dxa"/>
            <w:tcBorders>
              <w:top w:val="single" w:sz="4" w:space="0" w:color="auto"/>
            </w:tcBorders>
          </w:tcPr>
          <w:p w14:paraId="1D321BDE"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1.4%</w:t>
            </w:r>
          </w:p>
        </w:tc>
        <w:tc>
          <w:tcPr>
            <w:tcW w:w="900" w:type="dxa"/>
            <w:tcBorders>
              <w:top w:val="single" w:sz="4" w:space="0" w:color="auto"/>
            </w:tcBorders>
          </w:tcPr>
          <w:p w14:paraId="2663CBEC"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20.7%</w:t>
            </w:r>
          </w:p>
        </w:tc>
        <w:tc>
          <w:tcPr>
            <w:tcW w:w="810" w:type="dxa"/>
            <w:tcBorders>
              <w:top w:val="single" w:sz="4" w:space="0" w:color="auto"/>
            </w:tcBorders>
          </w:tcPr>
          <w:p w14:paraId="5D92E005"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35.0%</w:t>
            </w:r>
          </w:p>
        </w:tc>
        <w:tc>
          <w:tcPr>
            <w:tcW w:w="990" w:type="dxa"/>
            <w:tcBorders>
              <w:top w:val="single" w:sz="4" w:space="0" w:color="auto"/>
            </w:tcBorders>
          </w:tcPr>
          <w:p w14:paraId="66A8FE00"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42.1%</w:t>
            </w:r>
          </w:p>
        </w:tc>
        <w:tc>
          <w:tcPr>
            <w:tcW w:w="720" w:type="dxa"/>
            <w:tcBorders>
              <w:top w:val="single" w:sz="4" w:space="0" w:color="auto"/>
            </w:tcBorders>
          </w:tcPr>
          <w:p w14:paraId="7C252C33"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4.16</w:t>
            </w:r>
          </w:p>
        </w:tc>
        <w:tc>
          <w:tcPr>
            <w:tcW w:w="1170" w:type="dxa"/>
            <w:tcBorders>
              <w:top w:val="single" w:sz="4" w:space="0" w:color="auto"/>
            </w:tcBorders>
          </w:tcPr>
          <w:p w14:paraId="391D9770" w14:textId="77777777" w:rsidR="003A254A" w:rsidRPr="003076F4" w:rsidRDefault="003A254A" w:rsidP="0051175C">
            <w:pPr>
              <w:jc w:val="center"/>
              <w:rPr>
                <w:rFonts w:ascii="Times New Roman" w:hAnsi="Times New Roman" w:cs="Times New Roman"/>
                <w:sz w:val="20"/>
                <w:szCs w:val="20"/>
              </w:rPr>
            </w:pPr>
            <w:r w:rsidRPr="003076F4">
              <w:rPr>
                <w:rFonts w:ascii="Times New Roman" w:hAnsi="Times New Roman" w:cs="Times New Roman"/>
                <w:sz w:val="20"/>
                <w:szCs w:val="20"/>
              </w:rPr>
              <w:t>0.85</w:t>
            </w:r>
          </w:p>
        </w:tc>
      </w:tr>
    </w:tbl>
    <w:p w14:paraId="04DF4AB4" w14:textId="77777777" w:rsidR="003B1A63" w:rsidRDefault="003B1A63" w:rsidP="0051175C">
      <w:pPr>
        <w:spacing w:after="0" w:line="240" w:lineRule="auto"/>
        <w:jc w:val="both"/>
        <w:outlineLvl w:val="1"/>
        <w:rPr>
          <w:rFonts w:ascii="Times New Roman" w:eastAsia="Times New Roman" w:hAnsi="Times New Roman" w:cs="Times New Roman"/>
          <w:kern w:val="0"/>
          <w14:ligatures w14:val="none"/>
        </w:rPr>
      </w:pPr>
    </w:p>
    <w:p w14:paraId="6FF380DC" w14:textId="3A662931" w:rsidR="007A3291" w:rsidRPr="00D52A49" w:rsidRDefault="007A3291" w:rsidP="00476FCA">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pattern suggests that POA may be particularly effective in supporting structured and output-oriented language use, where learners are given more time to process input, organize ideas, and apply linguistic knowledge. This finding is consistent with previous research indicating that POA enhances productive and form-focused language skills, particularly writing and structured language production (Xuan et al., 2023; Sun et al., 2024). However, the relatively lower ratings for speaking and listening highlight the challenges associated with developing oral communication skills at the beginner level, which require real-time processing, interaction, and sustained exposure (Liu &amp; Zhang, 2022; Zhao, 2025).</w:t>
      </w:r>
    </w:p>
    <w:p w14:paraId="1016038A" w14:textId="77777777" w:rsidR="009D6F44" w:rsidRDefault="009D6F44" w:rsidP="0051175C">
      <w:pPr>
        <w:spacing w:after="0" w:line="240" w:lineRule="auto"/>
        <w:jc w:val="both"/>
        <w:outlineLvl w:val="1"/>
        <w:rPr>
          <w:rFonts w:ascii="Times New Roman" w:eastAsia="Times New Roman" w:hAnsi="Times New Roman" w:cs="Times New Roman"/>
          <w:kern w:val="0"/>
          <w14:ligatures w14:val="none"/>
        </w:rPr>
      </w:pPr>
    </w:p>
    <w:p w14:paraId="0CB7525A" w14:textId="77777777" w:rsidR="00EE2C1F" w:rsidRDefault="00EE2C1F" w:rsidP="0051175C">
      <w:pPr>
        <w:spacing w:after="0" w:line="240" w:lineRule="auto"/>
        <w:jc w:val="both"/>
        <w:outlineLvl w:val="1"/>
        <w:rPr>
          <w:rFonts w:ascii="Times New Roman" w:eastAsia="Times New Roman" w:hAnsi="Times New Roman" w:cs="Times New Roman"/>
          <w:kern w:val="0"/>
          <w14:ligatures w14:val="none"/>
        </w:rPr>
      </w:pPr>
    </w:p>
    <w:p w14:paraId="6BA36A7C" w14:textId="5440B0B2" w:rsidR="007A3291" w:rsidRPr="00D52A49" w:rsidRDefault="007A3291" w:rsidP="003C210E">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may indicate that the implementation of POA in this context places greater emphasis on structured output, which benefits written language development but provides fewer opportunities for spontaneous oral interaction. As a result, while learners are able to develop confidence in controlled language use, their perceived progress in speaking and listening may be comparatively slower.</w:t>
      </w:r>
    </w:p>
    <w:p w14:paraId="59F5A3E4" w14:textId="77777777" w:rsidR="003C210E" w:rsidRDefault="003C210E" w:rsidP="003C210E">
      <w:pPr>
        <w:spacing w:after="0" w:line="240" w:lineRule="auto"/>
        <w:ind w:firstLine="720"/>
        <w:jc w:val="both"/>
        <w:outlineLvl w:val="1"/>
        <w:rPr>
          <w:rFonts w:ascii="Times New Roman" w:eastAsia="Times New Roman" w:hAnsi="Times New Roman" w:cs="Times New Roman"/>
          <w:kern w:val="0"/>
          <w14:ligatures w14:val="none"/>
        </w:rPr>
      </w:pPr>
    </w:p>
    <w:p w14:paraId="3E9FD929" w14:textId="7A1F75A8" w:rsidR="007A3291" w:rsidRPr="00D52A49" w:rsidRDefault="007A3291" w:rsidP="003C210E">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Qualitative responses further support this interpretation.</w:t>
      </w:r>
      <w:r w:rsidR="003C210E">
        <w:rPr>
          <w:rFonts w:ascii="Times New Roman" w:eastAsia="Times New Roman" w:hAnsi="Times New Roman" w:cs="Times New Roman"/>
          <w:kern w:val="0"/>
          <w14:ligatures w14:val="none"/>
        </w:rPr>
        <w:t xml:space="preserve"> </w:t>
      </w:r>
      <w:r w:rsidRPr="00D52A49">
        <w:rPr>
          <w:rFonts w:ascii="Times New Roman" w:eastAsia="Times New Roman" w:hAnsi="Times New Roman" w:cs="Times New Roman"/>
          <w:kern w:val="0"/>
          <w14:ligatures w14:val="none"/>
        </w:rPr>
        <w:t xml:space="preserve">Several students described the instructional approach as “very good” and “helpful for revision,” indicating overall satisfaction with the learning process. At the same time, some students emphasized the importance of language support, noting that “translation helps me </w:t>
      </w:r>
      <w:r w:rsidRPr="00C00388">
        <w:rPr>
          <w:rFonts w:ascii="Times New Roman" w:eastAsia="Times New Roman" w:hAnsi="Times New Roman" w:cs="Times New Roman"/>
          <w:kern w:val="0"/>
          <w14:ligatures w14:val="none"/>
        </w:rPr>
        <w:t>understand more easily” and that the use of Malay or English facilitates comprehension at the beginner level.</w:t>
      </w:r>
      <w:r w:rsidR="005F64AD" w:rsidRPr="00C00388">
        <w:t xml:space="preserve"> </w:t>
      </w:r>
      <w:r w:rsidR="005F64AD" w:rsidRPr="00C00388">
        <w:rPr>
          <w:rFonts w:ascii="Times New Roman" w:eastAsia="Times New Roman" w:hAnsi="Times New Roman" w:cs="Times New Roman"/>
          <w:kern w:val="0"/>
          <w14:ligatures w14:val="none"/>
        </w:rPr>
        <w:t>This finding is consistent with research in the Malaysian second-language teaching context, where the use of learners’ first language has been observed as a continuing classroom practice, particularly to support understanding of the target language (</w:t>
      </w:r>
      <w:proofErr w:type="spellStart"/>
      <w:r w:rsidR="005F64AD" w:rsidRPr="00C00388">
        <w:rPr>
          <w:rFonts w:ascii="Times New Roman" w:eastAsia="Times New Roman" w:hAnsi="Times New Roman" w:cs="Times New Roman"/>
          <w:kern w:val="0"/>
          <w14:ligatures w14:val="none"/>
        </w:rPr>
        <w:t>Romli</w:t>
      </w:r>
      <w:proofErr w:type="spellEnd"/>
      <w:r w:rsidR="005F64AD" w:rsidRPr="00C00388">
        <w:rPr>
          <w:rFonts w:ascii="Times New Roman" w:eastAsia="Times New Roman" w:hAnsi="Times New Roman" w:cs="Times New Roman"/>
          <w:kern w:val="0"/>
          <w14:ligatures w14:val="none"/>
        </w:rPr>
        <w:t xml:space="preserve"> et al., 2022).</w:t>
      </w:r>
    </w:p>
    <w:p w14:paraId="64880C47" w14:textId="77777777" w:rsidR="00A83EF7" w:rsidRDefault="00A83EF7" w:rsidP="0051175C">
      <w:pPr>
        <w:spacing w:after="0" w:line="240" w:lineRule="auto"/>
        <w:jc w:val="both"/>
        <w:outlineLvl w:val="1"/>
        <w:rPr>
          <w:rFonts w:ascii="Times New Roman" w:eastAsia="Times New Roman" w:hAnsi="Times New Roman" w:cs="Times New Roman"/>
          <w:kern w:val="0"/>
          <w14:ligatures w14:val="none"/>
        </w:rPr>
      </w:pPr>
    </w:p>
    <w:p w14:paraId="14D970DB" w14:textId="574DF39F" w:rsidR="007A3291" w:rsidRDefault="007A3291" w:rsidP="0051175C">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In addition, many students highlighted the need for more practice, particularly in strengthening their language skills. Suggestions such as “</w:t>
      </w:r>
      <w:r w:rsidR="00474B27" w:rsidRPr="00D52A49">
        <w:rPr>
          <w:rFonts w:ascii="Times New Roman" w:eastAsia="Times New Roman" w:hAnsi="Times New Roman" w:cs="Times New Roman"/>
          <w:kern w:val="0"/>
          <w14:ligatures w14:val="none"/>
        </w:rPr>
        <w:t>I want</w:t>
      </w:r>
      <w:r w:rsidRPr="00D52A49">
        <w:rPr>
          <w:rFonts w:ascii="Times New Roman" w:eastAsia="Times New Roman" w:hAnsi="Times New Roman" w:cs="Times New Roman"/>
          <w:kern w:val="0"/>
          <w14:ligatures w14:val="none"/>
        </w:rPr>
        <w:t xml:space="preserve"> more exercises,” “do more quizzes to strengthen memory,” reflect a preference for repeated practice as a means of reinforcing learning. These responses suggest that while POA supports structured language development, additional opportunities for practice and interaction may further enhance learners’ proficiency, particularly in oral communication.</w:t>
      </w:r>
    </w:p>
    <w:p w14:paraId="3CC318BA" w14:textId="77777777" w:rsidR="009E50DF" w:rsidRPr="00D52A49" w:rsidRDefault="009E50DF" w:rsidP="0051175C">
      <w:pPr>
        <w:spacing w:after="0" w:line="240" w:lineRule="auto"/>
        <w:jc w:val="both"/>
        <w:outlineLvl w:val="1"/>
        <w:rPr>
          <w:rFonts w:ascii="Times New Roman" w:eastAsia="Times New Roman" w:hAnsi="Times New Roman" w:cs="Times New Roman"/>
          <w:kern w:val="0"/>
          <w14:ligatures w14:val="none"/>
        </w:rPr>
      </w:pPr>
    </w:p>
    <w:p w14:paraId="01CFDA57" w14:textId="0ED17746" w:rsidR="003A254A" w:rsidRPr="00067866" w:rsidRDefault="003A254A" w:rsidP="0051175C">
      <w:pPr>
        <w:spacing w:after="0" w:line="240" w:lineRule="auto"/>
        <w:jc w:val="both"/>
        <w:outlineLvl w:val="1"/>
        <w:rPr>
          <w:rFonts w:ascii="Times New Roman" w:eastAsia="Times New Roman" w:hAnsi="Times New Roman" w:cs="Times New Roman"/>
          <w:b/>
          <w:bCs/>
          <w:kern w:val="0"/>
          <w14:ligatures w14:val="none"/>
        </w:rPr>
      </w:pPr>
      <w:r w:rsidRPr="00067866">
        <w:rPr>
          <w:rFonts w:ascii="Times New Roman" w:eastAsia="Times New Roman" w:hAnsi="Times New Roman" w:cs="Times New Roman"/>
          <w:b/>
          <w:bCs/>
          <w:kern w:val="0"/>
          <w14:ligatures w14:val="none"/>
        </w:rPr>
        <w:t>Perceived Impact of POA on Learning Processes (RQ2)</w:t>
      </w:r>
    </w:p>
    <w:p w14:paraId="449BE35A" w14:textId="77777777" w:rsidR="00B66EA3" w:rsidRPr="00D52A49" w:rsidRDefault="00B66EA3" w:rsidP="00B66EA3">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Table 2 presents students’ perceptions of POA in relation to learning processes, including cognitive development and active learning. All items received high mean scores (4.15–4.27), indicating consistently positive perceptions.</w:t>
      </w:r>
    </w:p>
    <w:p w14:paraId="6BC806F3" w14:textId="77777777" w:rsidR="00B66EA3" w:rsidRPr="009D6F44" w:rsidRDefault="00B66EA3" w:rsidP="009D6F44">
      <w:pPr>
        <w:spacing w:after="0" w:line="240" w:lineRule="auto"/>
        <w:jc w:val="center"/>
        <w:rPr>
          <w:rFonts w:ascii="Times New Roman" w:eastAsia="Times New Roman" w:hAnsi="Times New Roman" w:cs="Times New Roman"/>
          <w:b/>
          <w:bCs/>
          <w:kern w:val="0"/>
          <w14:ligatures w14:val="none"/>
        </w:rPr>
      </w:pPr>
    </w:p>
    <w:p w14:paraId="0061F3F4" w14:textId="77777777" w:rsidR="009E50DF" w:rsidRPr="009E50DF" w:rsidRDefault="009E50DF" w:rsidP="009E50DF">
      <w:pPr>
        <w:spacing w:after="0" w:line="240" w:lineRule="auto"/>
        <w:jc w:val="center"/>
        <w:rPr>
          <w:rFonts w:ascii="Times New Roman" w:eastAsia="Times New Roman" w:hAnsi="Times New Roman" w:cs="Times New Roman"/>
          <w:b/>
          <w:bCs/>
          <w:kern w:val="0"/>
          <w:sz w:val="20"/>
          <w:szCs w:val="20"/>
          <w14:ligatures w14:val="none"/>
        </w:rPr>
      </w:pPr>
      <w:r w:rsidRPr="009E50DF">
        <w:rPr>
          <w:rFonts w:ascii="Times New Roman" w:eastAsia="Times New Roman" w:hAnsi="Times New Roman" w:cs="Times New Roman"/>
          <w:b/>
          <w:bCs/>
          <w:kern w:val="0"/>
          <w:sz w:val="20"/>
          <w:szCs w:val="20"/>
          <w14:ligatures w14:val="none"/>
        </w:rPr>
        <w:t xml:space="preserve">Table 2 </w:t>
      </w:r>
    </w:p>
    <w:p w14:paraId="68BB3F9A" w14:textId="33593563" w:rsidR="009E50DF" w:rsidRPr="009E50DF" w:rsidRDefault="009E50DF" w:rsidP="009E50DF">
      <w:pPr>
        <w:spacing w:after="0" w:line="240" w:lineRule="auto"/>
        <w:jc w:val="center"/>
        <w:rPr>
          <w:rFonts w:ascii="Times New Roman" w:eastAsia="Times New Roman" w:hAnsi="Times New Roman" w:cs="Times New Roman"/>
          <w:kern w:val="0"/>
          <w:sz w:val="20"/>
          <w:szCs w:val="20"/>
          <w14:ligatures w14:val="none"/>
        </w:rPr>
      </w:pPr>
      <w:r w:rsidRPr="009E50DF">
        <w:rPr>
          <w:rFonts w:ascii="Times New Roman" w:eastAsia="Times New Roman" w:hAnsi="Times New Roman" w:cs="Times New Roman"/>
          <w:kern w:val="0"/>
          <w:sz w:val="20"/>
          <w:szCs w:val="20"/>
          <w14:ligatures w14:val="none"/>
        </w:rPr>
        <w:t>Students’ Perceptions of POA on Learning Processes (Cognitive Development and Active Learning)</w:t>
      </w:r>
    </w:p>
    <w:tbl>
      <w:tblPr>
        <w:tblStyle w:val="TableGrid"/>
        <w:tblW w:w="9558" w:type="dxa"/>
        <w:tblInd w:w="-11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2520"/>
        <w:gridCol w:w="990"/>
        <w:gridCol w:w="990"/>
        <w:gridCol w:w="900"/>
        <w:gridCol w:w="810"/>
        <w:gridCol w:w="990"/>
        <w:gridCol w:w="720"/>
        <w:gridCol w:w="1080"/>
      </w:tblGrid>
      <w:tr w:rsidR="003A254A" w:rsidRPr="00D52A49" w14:paraId="48F5D4A3" w14:textId="77777777" w:rsidTr="00C00388">
        <w:tc>
          <w:tcPr>
            <w:tcW w:w="558" w:type="dxa"/>
            <w:tcBorders>
              <w:bottom w:val="single" w:sz="4" w:space="0" w:color="auto"/>
            </w:tcBorders>
          </w:tcPr>
          <w:p w14:paraId="1DF7EF4F"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No.</w:t>
            </w:r>
          </w:p>
        </w:tc>
        <w:tc>
          <w:tcPr>
            <w:tcW w:w="2520" w:type="dxa"/>
            <w:tcBorders>
              <w:bottom w:val="single" w:sz="4" w:space="0" w:color="auto"/>
            </w:tcBorders>
          </w:tcPr>
          <w:p w14:paraId="4BA469EA"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Item</w:t>
            </w:r>
          </w:p>
        </w:tc>
        <w:tc>
          <w:tcPr>
            <w:tcW w:w="990" w:type="dxa"/>
            <w:tcBorders>
              <w:bottom w:val="single" w:sz="4" w:space="0" w:color="auto"/>
            </w:tcBorders>
          </w:tcPr>
          <w:p w14:paraId="7D801A09"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Strongly Disagree</w:t>
            </w:r>
          </w:p>
        </w:tc>
        <w:tc>
          <w:tcPr>
            <w:tcW w:w="990" w:type="dxa"/>
            <w:tcBorders>
              <w:bottom w:val="single" w:sz="4" w:space="0" w:color="auto"/>
            </w:tcBorders>
          </w:tcPr>
          <w:p w14:paraId="3673B7EB"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Disagree</w:t>
            </w:r>
          </w:p>
        </w:tc>
        <w:tc>
          <w:tcPr>
            <w:tcW w:w="900" w:type="dxa"/>
            <w:tcBorders>
              <w:bottom w:val="single" w:sz="4" w:space="0" w:color="auto"/>
            </w:tcBorders>
          </w:tcPr>
          <w:p w14:paraId="10637489"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Neutral</w:t>
            </w:r>
          </w:p>
        </w:tc>
        <w:tc>
          <w:tcPr>
            <w:tcW w:w="810" w:type="dxa"/>
            <w:tcBorders>
              <w:bottom w:val="single" w:sz="4" w:space="0" w:color="auto"/>
            </w:tcBorders>
          </w:tcPr>
          <w:p w14:paraId="527A6E28"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Agree</w:t>
            </w:r>
          </w:p>
        </w:tc>
        <w:tc>
          <w:tcPr>
            <w:tcW w:w="990" w:type="dxa"/>
            <w:tcBorders>
              <w:bottom w:val="single" w:sz="4" w:space="0" w:color="auto"/>
            </w:tcBorders>
          </w:tcPr>
          <w:p w14:paraId="3DE0CBD3"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Strongly Agree</w:t>
            </w:r>
          </w:p>
        </w:tc>
        <w:tc>
          <w:tcPr>
            <w:tcW w:w="720" w:type="dxa"/>
            <w:tcBorders>
              <w:bottom w:val="single" w:sz="4" w:space="0" w:color="auto"/>
            </w:tcBorders>
          </w:tcPr>
          <w:p w14:paraId="73F82894"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Mean</w:t>
            </w:r>
          </w:p>
        </w:tc>
        <w:tc>
          <w:tcPr>
            <w:tcW w:w="1080" w:type="dxa"/>
            <w:tcBorders>
              <w:bottom w:val="single" w:sz="4" w:space="0" w:color="auto"/>
            </w:tcBorders>
          </w:tcPr>
          <w:p w14:paraId="1239A82F" w14:textId="77777777" w:rsidR="003A254A" w:rsidRPr="00B66EA3" w:rsidRDefault="003A254A" w:rsidP="0051175C">
            <w:pPr>
              <w:jc w:val="center"/>
              <w:rPr>
                <w:rFonts w:ascii="Times New Roman" w:hAnsi="Times New Roman" w:cs="Times New Roman"/>
                <w:b/>
                <w:bCs/>
                <w:sz w:val="20"/>
                <w:szCs w:val="20"/>
              </w:rPr>
            </w:pPr>
            <w:r w:rsidRPr="00B66EA3">
              <w:rPr>
                <w:rFonts w:ascii="Times New Roman" w:hAnsi="Times New Roman" w:cs="Times New Roman"/>
                <w:b/>
                <w:bCs/>
                <w:sz w:val="20"/>
                <w:szCs w:val="20"/>
              </w:rPr>
              <w:t>Standard Deviation</w:t>
            </w:r>
          </w:p>
        </w:tc>
      </w:tr>
      <w:tr w:rsidR="003A254A" w:rsidRPr="00D52A49" w14:paraId="55BD31BB" w14:textId="77777777" w:rsidTr="00C00388">
        <w:tc>
          <w:tcPr>
            <w:tcW w:w="558" w:type="dxa"/>
            <w:tcBorders>
              <w:top w:val="single" w:sz="4" w:space="0" w:color="auto"/>
              <w:bottom w:val="single" w:sz="4" w:space="0" w:color="auto"/>
            </w:tcBorders>
          </w:tcPr>
          <w:p w14:paraId="19EB489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1.</w:t>
            </w:r>
          </w:p>
        </w:tc>
        <w:tc>
          <w:tcPr>
            <w:tcW w:w="2520" w:type="dxa"/>
            <w:tcBorders>
              <w:top w:val="single" w:sz="4" w:space="0" w:color="auto"/>
              <w:bottom w:val="single" w:sz="4" w:space="0" w:color="auto"/>
            </w:tcBorders>
          </w:tcPr>
          <w:p w14:paraId="724C4E06" w14:textId="3CC35E3C"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Chinese class helps me to learn new Chinese words.</w:t>
            </w:r>
          </w:p>
        </w:tc>
        <w:tc>
          <w:tcPr>
            <w:tcW w:w="990" w:type="dxa"/>
            <w:tcBorders>
              <w:top w:val="single" w:sz="4" w:space="0" w:color="auto"/>
              <w:bottom w:val="single" w:sz="4" w:space="0" w:color="auto"/>
            </w:tcBorders>
          </w:tcPr>
          <w:p w14:paraId="745A2A79"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90" w:type="dxa"/>
            <w:tcBorders>
              <w:top w:val="single" w:sz="4" w:space="0" w:color="auto"/>
              <w:bottom w:val="single" w:sz="4" w:space="0" w:color="auto"/>
            </w:tcBorders>
          </w:tcPr>
          <w:p w14:paraId="421C4C2F"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0.0%</w:t>
            </w:r>
          </w:p>
        </w:tc>
        <w:tc>
          <w:tcPr>
            <w:tcW w:w="900" w:type="dxa"/>
            <w:tcBorders>
              <w:top w:val="single" w:sz="4" w:space="0" w:color="auto"/>
              <w:bottom w:val="single" w:sz="4" w:space="0" w:color="auto"/>
            </w:tcBorders>
          </w:tcPr>
          <w:p w14:paraId="52A37406"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18.6%</w:t>
            </w:r>
          </w:p>
        </w:tc>
        <w:tc>
          <w:tcPr>
            <w:tcW w:w="810" w:type="dxa"/>
            <w:tcBorders>
              <w:top w:val="single" w:sz="4" w:space="0" w:color="auto"/>
              <w:bottom w:val="single" w:sz="4" w:space="0" w:color="auto"/>
            </w:tcBorders>
          </w:tcPr>
          <w:p w14:paraId="63A6F8EC"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32.9%</w:t>
            </w:r>
          </w:p>
        </w:tc>
        <w:tc>
          <w:tcPr>
            <w:tcW w:w="990" w:type="dxa"/>
            <w:tcBorders>
              <w:top w:val="single" w:sz="4" w:space="0" w:color="auto"/>
              <w:bottom w:val="single" w:sz="4" w:space="0" w:color="auto"/>
            </w:tcBorders>
          </w:tcPr>
          <w:p w14:paraId="17A86169"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47.9%</w:t>
            </w:r>
          </w:p>
        </w:tc>
        <w:tc>
          <w:tcPr>
            <w:tcW w:w="720" w:type="dxa"/>
            <w:tcBorders>
              <w:top w:val="single" w:sz="4" w:space="0" w:color="auto"/>
              <w:bottom w:val="single" w:sz="4" w:space="0" w:color="auto"/>
            </w:tcBorders>
          </w:tcPr>
          <w:p w14:paraId="31ADAD4C"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4.27</w:t>
            </w:r>
          </w:p>
        </w:tc>
        <w:tc>
          <w:tcPr>
            <w:tcW w:w="1080" w:type="dxa"/>
            <w:tcBorders>
              <w:top w:val="single" w:sz="4" w:space="0" w:color="auto"/>
              <w:bottom w:val="single" w:sz="4" w:space="0" w:color="auto"/>
            </w:tcBorders>
          </w:tcPr>
          <w:p w14:paraId="6EDE0044"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0.81</w:t>
            </w:r>
          </w:p>
        </w:tc>
      </w:tr>
      <w:tr w:rsidR="003A254A" w:rsidRPr="00D52A49" w14:paraId="6EC205AB" w14:textId="77777777" w:rsidTr="00C00388">
        <w:tc>
          <w:tcPr>
            <w:tcW w:w="558" w:type="dxa"/>
            <w:tcBorders>
              <w:top w:val="single" w:sz="4" w:space="0" w:color="auto"/>
              <w:bottom w:val="single" w:sz="4" w:space="0" w:color="auto"/>
            </w:tcBorders>
          </w:tcPr>
          <w:p w14:paraId="5629A4AE"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2.</w:t>
            </w:r>
          </w:p>
        </w:tc>
        <w:tc>
          <w:tcPr>
            <w:tcW w:w="2520" w:type="dxa"/>
            <w:tcBorders>
              <w:top w:val="single" w:sz="4" w:space="0" w:color="auto"/>
              <w:bottom w:val="single" w:sz="4" w:space="0" w:color="auto"/>
            </w:tcBorders>
          </w:tcPr>
          <w:p w14:paraId="169F8792"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helps me to master Chinese sentence structure.</w:t>
            </w:r>
          </w:p>
        </w:tc>
        <w:tc>
          <w:tcPr>
            <w:tcW w:w="990" w:type="dxa"/>
            <w:tcBorders>
              <w:top w:val="single" w:sz="4" w:space="0" w:color="auto"/>
              <w:bottom w:val="single" w:sz="4" w:space="0" w:color="auto"/>
            </w:tcBorders>
          </w:tcPr>
          <w:p w14:paraId="0120B626"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90" w:type="dxa"/>
            <w:tcBorders>
              <w:top w:val="single" w:sz="4" w:space="0" w:color="auto"/>
              <w:bottom w:val="single" w:sz="4" w:space="0" w:color="auto"/>
            </w:tcBorders>
          </w:tcPr>
          <w:p w14:paraId="5EF87591"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00" w:type="dxa"/>
            <w:tcBorders>
              <w:top w:val="single" w:sz="4" w:space="0" w:color="auto"/>
              <w:bottom w:val="single" w:sz="4" w:space="0" w:color="auto"/>
            </w:tcBorders>
          </w:tcPr>
          <w:p w14:paraId="7CC32A7E"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18.6%</w:t>
            </w:r>
          </w:p>
        </w:tc>
        <w:tc>
          <w:tcPr>
            <w:tcW w:w="810" w:type="dxa"/>
            <w:tcBorders>
              <w:top w:val="single" w:sz="4" w:space="0" w:color="auto"/>
              <w:bottom w:val="single" w:sz="4" w:space="0" w:color="auto"/>
            </w:tcBorders>
          </w:tcPr>
          <w:p w14:paraId="664221E0"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39.3%</w:t>
            </w:r>
          </w:p>
        </w:tc>
        <w:tc>
          <w:tcPr>
            <w:tcW w:w="990" w:type="dxa"/>
            <w:tcBorders>
              <w:top w:val="single" w:sz="4" w:space="0" w:color="auto"/>
              <w:bottom w:val="single" w:sz="4" w:space="0" w:color="auto"/>
            </w:tcBorders>
          </w:tcPr>
          <w:p w14:paraId="121A8331"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40.7%</w:t>
            </w:r>
          </w:p>
        </w:tc>
        <w:tc>
          <w:tcPr>
            <w:tcW w:w="720" w:type="dxa"/>
            <w:tcBorders>
              <w:top w:val="single" w:sz="4" w:space="0" w:color="auto"/>
              <w:bottom w:val="single" w:sz="4" w:space="0" w:color="auto"/>
            </w:tcBorders>
          </w:tcPr>
          <w:p w14:paraId="1E27A919"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4.19</w:t>
            </w:r>
          </w:p>
        </w:tc>
        <w:tc>
          <w:tcPr>
            <w:tcW w:w="1080" w:type="dxa"/>
            <w:tcBorders>
              <w:top w:val="single" w:sz="4" w:space="0" w:color="auto"/>
              <w:bottom w:val="single" w:sz="4" w:space="0" w:color="auto"/>
            </w:tcBorders>
          </w:tcPr>
          <w:p w14:paraId="728EE3B2"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0.81</w:t>
            </w:r>
          </w:p>
        </w:tc>
      </w:tr>
      <w:tr w:rsidR="003A254A" w:rsidRPr="00D52A49" w14:paraId="3B0DC61F" w14:textId="77777777" w:rsidTr="00C00388">
        <w:tc>
          <w:tcPr>
            <w:tcW w:w="558" w:type="dxa"/>
            <w:tcBorders>
              <w:top w:val="single" w:sz="4" w:space="0" w:color="auto"/>
              <w:bottom w:val="single" w:sz="4" w:space="0" w:color="auto"/>
            </w:tcBorders>
          </w:tcPr>
          <w:p w14:paraId="24606171"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w:t>
            </w:r>
          </w:p>
        </w:tc>
        <w:tc>
          <w:tcPr>
            <w:tcW w:w="2520" w:type="dxa"/>
            <w:tcBorders>
              <w:top w:val="single" w:sz="4" w:space="0" w:color="auto"/>
              <w:bottom w:val="single" w:sz="4" w:space="0" w:color="auto"/>
            </w:tcBorders>
          </w:tcPr>
          <w:p w14:paraId="2086EA52"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helps me to memorize the vocabs.</w:t>
            </w:r>
          </w:p>
        </w:tc>
        <w:tc>
          <w:tcPr>
            <w:tcW w:w="990" w:type="dxa"/>
            <w:tcBorders>
              <w:top w:val="single" w:sz="4" w:space="0" w:color="auto"/>
              <w:bottom w:val="single" w:sz="4" w:space="0" w:color="auto"/>
            </w:tcBorders>
          </w:tcPr>
          <w:p w14:paraId="72D7FD17"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90" w:type="dxa"/>
            <w:tcBorders>
              <w:top w:val="single" w:sz="4" w:space="0" w:color="auto"/>
              <w:bottom w:val="single" w:sz="4" w:space="0" w:color="auto"/>
            </w:tcBorders>
          </w:tcPr>
          <w:p w14:paraId="63154920"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00" w:type="dxa"/>
            <w:tcBorders>
              <w:top w:val="single" w:sz="4" w:space="0" w:color="auto"/>
              <w:bottom w:val="single" w:sz="4" w:space="0" w:color="auto"/>
            </w:tcBorders>
          </w:tcPr>
          <w:p w14:paraId="42A32E83"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18.6%</w:t>
            </w:r>
          </w:p>
        </w:tc>
        <w:tc>
          <w:tcPr>
            <w:tcW w:w="810" w:type="dxa"/>
            <w:tcBorders>
              <w:top w:val="single" w:sz="4" w:space="0" w:color="auto"/>
              <w:bottom w:val="single" w:sz="4" w:space="0" w:color="auto"/>
            </w:tcBorders>
          </w:tcPr>
          <w:p w14:paraId="093C21EC"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34.3%</w:t>
            </w:r>
          </w:p>
        </w:tc>
        <w:tc>
          <w:tcPr>
            <w:tcW w:w="990" w:type="dxa"/>
            <w:tcBorders>
              <w:top w:val="single" w:sz="4" w:space="0" w:color="auto"/>
              <w:bottom w:val="single" w:sz="4" w:space="0" w:color="auto"/>
            </w:tcBorders>
          </w:tcPr>
          <w:p w14:paraId="62EE1567"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45.7%</w:t>
            </w:r>
          </w:p>
        </w:tc>
        <w:tc>
          <w:tcPr>
            <w:tcW w:w="720" w:type="dxa"/>
            <w:tcBorders>
              <w:top w:val="single" w:sz="4" w:space="0" w:color="auto"/>
              <w:bottom w:val="single" w:sz="4" w:space="0" w:color="auto"/>
            </w:tcBorders>
          </w:tcPr>
          <w:p w14:paraId="62B7F2DF"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4.24</w:t>
            </w:r>
          </w:p>
        </w:tc>
        <w:tc>
          <w:tcPr>
            <w:tcW w:w="1080" w:type="dxa"/>
            <w:tcBorders>
              <w:top w:val="single" w:sz="4" w:space="0" w:color="auto"/>
              <w:bottom w:val="single" w:sz="4" w:space="0" w:color="auto"/>
            </w:tcBorders>
          </w:tcPr>
          <w:p w14:paraId="45ED48C7"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0.82</w:t>
            </w:r>
          </w:p>
        </w:tc>
      </w:tr>
      <w:tr w:rsidR="003A254A" w:rsidRPr="00D52A49" w14:paraId="55598EA2" w14:textId="77777777" w:rsidTr="00C00388">
        <w:tc>
          <w:tcPr>
            <w:tcW w:w="558" w:type="dxa"/>
            <w:tcBorders>
              <w:top w:val="single" w:sz="4" w:space="0" w:color="auto"/>
              <w:bottom w:val="single" w:sz="4" w:space="0" w:color="auto"/>
            </w:tcBorders>
          </w:tcPr>
          <w:p w14:paraId="1A766636"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w:t>
            </w:r>
          </w:p>
        </w:tc>
        <w:tc>
          <w:tcPr>
            <w:tcW w:w="2520" w:type="dxa"/>
            <w:tcBorders>
              <w:top w:val="single" w:sz="4" w:space="0" w:color="auto"/>
              <w:bottom w:val="single" w:sz="4" w:space="0" w:color="auto"/>
            </w:tcBorders>
          </w:tcPr>
          <w:p w14:paraId="4B3BDC04"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can help me to utilize my knowledge.</w:t>
            </w:r>
          </w:p>
        </w:tc>
        <w:tc>
          <w:tcPr>
            <w:tcW w:w="990" w:type="dxa"/>
            <w:tcBorders>
              <w:top w:val="single" w:sz="4" w:space="0" w:color="auto"/>
              <w:bottom w:val="single" w:sz="4" w:space="0" w:color="auto"/>
            </w:tcBorders>
          </w:tcPr>
          <w:p w14:paraId="52745A59"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90" w:type="dxa"/>
            <w:tcBorders>
              <w:top w:val="single" w:sz="4" w:space="0" w:color="auto"/>
              <w:bottom w:val="single" w:sz="4" w:space="0" w:color="auto"/>
            </w:tcBorders>
          </w:tcPr>
          <w:p w14:paraId="54BADA74"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00" w:type="dxa"/>
            <w:tcBorders>
              <w:top w:val="single" w:sz="4" w:space="0" w:color="auto"/>
              <w:bottom w:val="single" w:sz="4" w:space="0" w:color="auto"/>
            </w:tcBorders>
          </w:tcPr>
          <w:p w14:paraId="1F5B70FB"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17.1%</w:t>
            </w:r>
          </w:p>
        </w:tc>
        <w:tc>
          <w:tcPr>
            <w:tcW w:w="810" w:type="dxa"/>
            <w:tcBorders>
              <w:top w:val="single" w:sz="4" w:space="0" w:color="auto"/>
              <w:bottom w:val="single" w:sz="4" w:space="0" w:color="auto"/>
            </w:tcBorders>
          </w:tcPr>
          <w:p w14:paraId="120A02AF"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37.1%</w:t>
            </w:r>
          </w:p>
        </w:tc>
        <w:tc>
          <w:tcPr>
            <w:tcW w:w="990" w:type="dxa"/>
            <w:tcBorders>
              <w:top w:val="single" w:sz="4" w:space="0" w:color="auto"/>
              <w:bottom w:val="single" w:sz="4" w:space="0" w:color="auto"/>
            </w:tcBorders>
          </w:tcPr>
          <w:p w14:paraId="2515C194"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44.3%</w:t>
            </w:r>
          </w:p>
        </w:tc>
        <w:tc>
          <w:tcPr>
            <w:tcW w:w="720" w:type="dxa"/>
            <w:tcBorders>
              <w:top w:val="single" w:sz="4" w:space="0" w:color="auto"/>
              <w:bottom w:val="single" w:sz="4" w:space="0" w:color="auto"/>
            </w:tcBorders>
          </w:tcPr>
          <w:p w14:paraId="4EB0019D"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4.24</w:t>
            </w:r>
          </w:p>
        </w:tc>
        <w:tc>
          <w:tcPr>
            <w:tcW w:w="1080" w:type="dxa"/>
            <w:tcBorders>
              <w:top w:val="single" w:sz="4" w:space="0" w:color="auto"/>
              <w:bottom w:val="single" w:sz="4" w:space="0" w:color="auto"/>
            </w:tcBorders>
          </w:tcPr>
          <w:p w14:paraId="513ABC60"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0.81</w:t>
            </w:r>
          </w:p>
        </w:tc>
      </w:tr>
      <w:tr w:rsidR="003A254A" w:rsidRPr="00D52A49" w14:paraId="784361BF" w14:textId="77777777" w:rsidTr="00C00388">
        <w:tc>
          <w:tcPr>
            <w:tcW w:w="558" w:type="dxa"/>
            <w:tcBorders>
              <w:top w:val="single" w:sz="4" w:space="0" w:color="auto"/>
            </w:tcBorders>
          </w:tcPr>
          <w:p w14:paraId="67C1BBEF"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5.</w:t>
            </w:r>
          </w:p>
        </w:tc>
        <w:tc>
          <w:tcPr>
            <w:tcW w:w="2520" w:type="dxa"/>
            <w:tcBorders>
              <w:top w:val="single" w:sz="4" w:space="0" w:color="auto"/>
            </w:tcBorders>
          </w:tcPr>
          <w:p w14:paraId="0E53ACEC"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will help me learn other language subjects in future.</w:t>
            </w:r>
          </w:p>
        </w:tc>
        <w:tc>
          <w:tcPr>
            <w:tcW w:w="990" w:type="dxa"/>
            <w:tcBorders>
              <w:top w:val="single" w:sz="4" w:space="0" w:color="auto"/>
            </w:tcBorders>
          </w:tcPr>
          <w:p w14:paraId="3B1D9F32"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90" w:type="dxa"/>
            <w:tcBorders>
              <w:top w:val="single" w:sz="4" w:space="0" w:color="auto"/>
            </w:tcBorders>
          </w:tcPr>
          <w:p w14:paraId="7A71033F"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0.7%</w:t>
            </w:r>
          </w:p>
        </w:tc>
        <w:tc>
          <w:tcPr>
            <w:tcW w:w="900" w:type="dxa"/>
            <w:tcBorders>
              <w:top w:val="single" w:sz="4" w:space="0" w:color="auto"/>
            </w:tcBorders>
          </w:tcPr>
          <w:p w14:paraId="5C969008"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19.3%</w:t>
            </w:r>
          </w:p>
        </w:tc>
        <w:tc>
          <w:tcPr>
            <w:tcW w:w="810" w:type="dxa"/>
            <w:tcBorders>
              <w:top w:val="single" w:sz="4" w:space="0" w:color="auto"/>
            </w:tcBorders>
          </w:tcPr>
          <w:p w14:paraId="17205E66"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35.7%</w:t>
            </w:r>
          </w:p>
        </w:tc>
        <w:tc>
          <w:tcPr>
            <w:tcW w:w="990" w:type="dxa"/>
            <w:tcBorders>
              <w:top w:val="single" w:sz="4" w:space="0" w:color="auto"/>
            </w:tcBorders>
          </w:tcPr>
          <w:p w14:paraId="4FD21A36"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43.6%</w:t>
            </w:r>
          </w:p>
        </w:tc>
        <w:tc>
          <w:tcPr>
            <w:tcW w:w="720" w:type="dxa"/>
            <w:tcBorders>
              <w:top w:val="single" w:sz="4" w:space="0" w:color="auto"/>
            </w:tcBorders>
          </w:tcPr>
          <w:p w14:paraId="4A447B6F"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4.21</w:t>
            </w:r>
          </w:p>
        </w:tc>
        <w:tc>
          <w:tcPr>
            <w:tcW w:w="1080" w:type="dxa"/>
            <w:tcBorders>
              <w:top w:val="single" w:sz="4" w:space="0" w:color="auto"/>
            </w:tcBorders>
          </w:tcPr>
          <w:p w14:paraId="404027CB" w14:textId="77777777" w:rsidR="003A254A" w:rsidRPr="00B66EA3" w:rsidRDefault="003A254A" w:rsidP="0051175C">
            <w:pPr>
              <w:jc w:val="center"/>
              <w:rPr>
                <w:rFonts w:ascii="Times New Roman" w:hAnsi="Times New Roman" w:cs="Times New Roman"/>
                <w:sz w:val="20"/>
                <w:szCs w:val="20"/>
              </w:rPr>
            </w:pPr>
            <w:r w:rsidRPr="00B66EA3">
              <w:rPr>
                <w:rFonts w:ascii="Times New Roman" w:hAnsi="Times New Roman" w:cs="Times New Roman"/>
                <w:sz w:val="20"/>
                <w:szCs w:val="20"/>
              </w:rPr>
              <w:t>0.82</w:t>
            </w:r>
          </w:p>
        </w:tc>
      </w:tr>
      <w:tr w:rsidR="003A254A" w:rsidRPr="00D52A49" w14:paraId="75840324" w14:textId="77777777" w:rsidTr="00C00388">
        <w:tc>
          <w:tcPr>
            <w:tcW w:w="558" w:type="dxa"/>
            <w:tcBorders>
              <w:top w:val="single" w:sz="4" w:space="0" w:color="auto"/>
              <w:bottom w:val="single" w:sz="4" w:space="0" w:color="auto"/>
            </w:tcBorders>
          </w:tcPr>
          <w:p w14:paraId="4C09D5C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6.</w:t>
            </w:r>
          </w:p>
        </w:tc>
        <w:tc>
          <w:tcPr>
            <w:tcW w:w="2520" w:type="dxa"/>
            <w:tcBorders>
              <w:top w:val="single" w:sz="4" w:space="0" w:color="auto"/>
              <w:bottom w:val="single" w:sz="4" w:space="0" w:color="auto"/>
            </w:tcBorders>
          </w:tcPr>
          <w:p w14:paraId="305ACA4C"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helps to enhance my learning motivation.</w:t>
            </w:r>
          </w:p>
        </w:tc>
        <w:tc>
          <w:tcPr>
            <w:tcW w:w="990" w:type="dxa"/>
            <w:tcBorders>
              <w:top w:val="single" w:sz="4" w:space="0" w:color="auto"/>
              <w:bottom w:val="single" w:sz="4" w:space="0" w:color="auto"/>
            </w:tcBorders>
          </w:tcPr>
          <w:p w14:paraId="260F9662"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3F090019"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r w:rsidRPr="00B66EA3">
              <w:rPr>
                <w:rFonts w:ascii="Times New Roman" w:hAnsi="Times New Roman" w:cs="Times New Roman"/>
                <w:sz w:val="20"/>
                <w:szCs w:val="20"/>
              </w:rPr>
              <w:tab/>
            </w:r>
          </w:p>
        </w:tc>
        <w:tc>
          <w:tcPr>
            <w:tcW w:w="900" w:type="dxa"/>
            <w:tcBorders>
              <w:top w:val="single" w:sz="4" w:space="0" w:color="auto"/>
              <w:bottom w:val="single" w:sz="4" w:space="0" w:color="auto"/>
            </w:tcBorders>
          </w:tcPr>
          <w:p w14:paraId="5755986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22.9%</w:t>
            </w:r>
            <w:r w:rsidRPr="00B66EA3">
              <w:rPr>
                <w:rFonts w:ascii="Times New Roman" w:hAnsi="Times New Roman" w:cs="Times New Roman"/>
                <w:sz w:val="20"/>
                <w:szCs w:val="20"/>
              </w:rPr>
              <w:tab/>
            </w:r>
            <w:r w:rsidRPr="00B66EA3">
              <w:rPr>
                <w:rFonts w:ascii="Times New Roman" w:hAnsi="Times New Roman" w:cs="Times New Roman"/>
                <w:sz w:val="20"/>
                <w:szCs w:val="20"/>
              </w:rPr>
              <w:tab/>
            </w:r>
            <w:r w:rsidRPr="00B66EA3">
              <w:rPr>
                <w:rFonts w:ascii="Times New Roman" w:hAnsi="Times New Roman" w:cs="Times New Roman"/>
                <w:sz w:val="20"/>
                <w:szCs w:val="20"/>
              </w:rPr>
              <w:tab/>
            </w:r>
          </w:p>
        </w:tc>
        <w:tc>
          <w:tcPr>
            <w:tcW w:w="810" w:type="dxa"/>
            <w:tcBorders>
              <w:top w:val="single" w:sz="4" w:space="0" w:color="auto"/>
              <w:bottom w:val="single" w:sz="4" w:space="0" w:color="auto"/>
            </w:tcBorders>
          </w:tcPr>
          <w:p w14:paraId="09C44851"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34.3%</w:t>
            </w:r>
            <w:r w:rsidRPr="00B66EA3">
              <w:rPr>
                <w:rFonts w:ascii="Times New Roman" w:hAnsi="Times New Roman" w:cs="Times New Roman"/>
                <w:sz w:val="20"/>
                <w:szCs w:val="20"/>
              </w:rPr>
              <w:tab/>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4A16F4F0"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41.4%</w:t>
            </w:r>
          </w:p>
        </w:tc>
        <w:tc>
          <w:tcPr>
            <w:tcW w:w="720" w:type="dxa"/>
            <w:tcBorders>
              <w:top w:val="single" w:sz="4" w:space="0" w:color="auto"/>
              <w:bottom w:val="single" w:sz="4" w:space="0" w:color="auto"/>
            </w:tcBorders>
          </w:tcPr>
          <w:p w14:paraId="6DBF66CA"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4.15</w:t>
            </w:r>
            <w:r w:rsidRPr="00B66EA3">
              <w:rPr>
                <w:rFonts w:ascii="Times New Roman" w:hAnsi="Times New Roman" w:cs="Times New Roman"/>
                <w:sz w:val="20"/>
                <w:szCs w:val="20"/>
              </w:rPr>
              <w:tab/>
            </w:r>
          </w:p>
        </w:tc>
        <w:tc>
          <w:tcPr>
            <w:tcW w:w="1080" w:type="dxa"/>
            <w:tcBorders>
              <w:top w:val="single" w:sz="4" w:space="0" w:color="auto"/>
              <w:bottom w:val="single" w:sz="4" w:space="0" w:color="auto"/>
            </w:tcBorders>
          </w:tcPr>
          <w:p w14:paraId="62D737C9"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0.84</w:t>
            </w:r>
          </w:p>
        </w:tc>
      </w:tr>
      <w:tr w:rsidR="003A254A" w:rsidRPr="00D52A49" w14:paraId="290DB0DA" w14:textId="77777777" w:rsidTr="00C00388">
        <w:tc>
          <w:tcPr>
            <w:tcW w:w="558" w:type="dxa"/>
            <w:tcBorders>
              <w:top w:val="single" w:sz="4" w:space="0" w:color="auto"/>
              <w:bottom w:val="single" w:sz="4" w:space="0" w:color="auto"/>
            </w:tcBorders>
          </w:tcPr>
          <w:p w14:paraId="64797636"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7.</w:t>
            </w:r>
          </w:p>
        </w:tc>
        <w:tc>
          <w:tcPr>
            <w:tcW w:w="2520" w:type="dxa"/>
            <w:tcBorders>
              <w:top w:val="single" w:sz="4" w:space="0" w:color="auto"/>
              <w:bottom w:val="single" w:sz="4" w:space="0" w:color="auto"/>
            </w:tcBorders>
          </w:tcPr>
          <w:p w14:paraId="22B8D275"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inspires me to learn actively.</w:t>
            </w:r>
          </w:p>
        </w:tc>
        <w:tc>
          <w:tcPr>
            <w:tcW w:w="990" w:type="dxa"/>
            <w:tcBorders>
              <w:top w:val="single" w:sz="4" w:space="0" w:color="auto"/>
              <w:bottom w:val="single" w:sz="4" w:space="0" w:color="auto"/>
            </w:tcBorders>
          </w:tcPr>
          <w:p w14:paraId="276E8801"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56645C5D"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0.0%</w:t>
            </w:r>
            <w:r w:rsidRPr="00B66EA3">
              <w:rPr>
                <w:rFonts w:ascii="Times New Roman" w:hAnsi="Times New Roman" w:cs="Times New Roman"/>
                <w:sz w:val="20"/>
                <w:szCs w:val="20"/>
              </w:rPr>
              <w:tab/>
            </w:r>
          </w:p>
        </w:tc>
        <w:tc>
          <w:tcPr>
            <w:tcW w:w="900" w:type="dxa"/>
            <w:tcBorders>
              <w:top w:val="single" w:sz="4" w:space="0" w:color="auto"/>
              <w:bottom w:val="single" w:sz="4" w:space="0" w:color="auto"/>
            </w:tcBorders>
          </w:tcPr>
          <w:p w14:paraId="633838FE"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17.9%</w:t>
            </w:r>
            <w:r w:rsidRPr="00B66EA3">
              <w:rPr>
                <w:rFonts w:ascii="Times New Roman" w:hAnsi="Times New Roman" w:cs="Times New Roman"/>
                <w:sz w:val="20"/>
                <w:szCs w:val="20"/>
              </w:rPr>
              <w:tab/>
            </w:r>
          </w:p>
        </w:tc>
        <w:tc>
          <w:tcPr>
            <w:tcW w:w="810" w:type="dxa"/>
            <w:tcBorders>
              <w:top w:val="single" w:sz="4" w:space="0" w:color="auto"/>
              <w:bottom w:val="single" w:sz="4" w:space="0" w:color="auto"/>
            </w:tcBorders>
          </w:tcPr>
          <w:p w14:paraId="7EEF66F9"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37.9%</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414E6494"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43.6%</w:t>
            </w:r>
          </w:p>
        </w:tc>
        <w:tc>
          <w:tcPr>
            <w:tcW w:w="720" w:type="dxa"/>
            <w:tcBorders>
              <w:top w:val="single" w:sz="4" w:space="0" w:color="auto"/>
              <w:bottom w:val="single" w:sz="4" w:space="0" w:color="auto"/>
            </w:tcBorders>
          </w:tcPr>
          <w:p w14:paraId="777560FF"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4.24</w:t>
            </w:r>
            <w:r w:rsidRPr="00B66EA3">
              <w:rPr>
                <w:rFonts w:ascii="Times New Roman" w:hAnsi="Times New Roman" w:cs="Times New Roman"/>
                <w:sz w:val="20"/>
                <w:szCs w:val="20"/>
              </w:rPr>
              <w:tab/>
            </w:r>
          </w:p>
        </w:tc>
        <w:tc>
          <w:tcPr>
            <w:tcW w:w="1080" w:type="dxa"/>
            <w:tcBorders>
              <w:top w:val="single" w:sz="4" w:space="0" w:color="auto"/>
              <w:bottom w:val="single" w:sz="4" w:space="0" w:color="auto"/>
            </w:tcBorders>
          </w:tcPr>
          <w:p w14:paraId="6D1711AB"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0.79</w:t>
            </w:r>
          </w:p>
        </w:tc>
      </w:tr>
      <w:tr w:rsidR="003A254A" w:rsidRPr="00D52A49" w14:paraId="05C1B044" w14:textId="77777777" w:rsidTr="00C00388">
        <w:tc>
          <w:tcPr>
            <w:tcW w:w="558" w:type="dxa"/>
            <w:tcBorders>
              <w:top w:val="single" w:sz="4" w:space="0" w:color="auto"/>
              <w:bottom w:val="single" w:sz="4" w:space="0" w:color="auto"/>
            </w:tcBorders>
          </w:tcPr>
          <w:p w14:paraId="0D466C0C"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8.</w:t>
            </w:r>
          </w:p>
        </w:tc>
        <w:tc>
          <w:tcPr>
            <w:tcW w:w="2520" w:type="dxa"/>
            <w:tcBorders>
              <w:top w:val="single" w:sz="4" w:space="0" w:color="auto"/>
              <w:bottom w:val="single" w:sz="4" w:space="0" w:color="auto"/>
            </w:tcBorders>
          </w:tcPr>
          <w:p w14:paraId="61ABBB75"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can enhance my ability in Chinese pronunciation.</w:t>
            </w:r>
          </w:p>
        </w:tc>
        <w:tc>
          <w:tcPr>
            <w:tcW w:w="990" w:type="dxa"/>
            <w:tcBorders>
              <w:top w:val="single" w:sz="4" w:space="0" w:color="auto"/>
              <w:bottom w:val="single" w:sz="4" w:space="0" w:color="auto"/>
            </w:tcBorders>
          </w:tcPr>
          <w:p w14:paraId="14437310"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7AA1F471"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00" w:type="dxa"/>
            <w:tcBorders>
              <w:top w:val="single" w:sz="4" w:space="0" w:color="auto"/>
              <w:bottom w:val="single" w:sz="4" w:space="0" w:color="auto"/>
            </w:tcBorders>
          </w:tcPr>
          <w:p w14:paraId="322B85C4"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18.6%</w:t>
            </w:r>
            <w:r w:rsidRPr="00B66EA3">
              <w:rPr>
                <w:rFonts w:ascii="Times New Roman" w:hAnsi="Times New Roman" w:cs="Times New Roman"/>
                <w:sz w:val="20"/>
                <w:szCs w:val="20"/>
              </w:rPr>
              <w:tab/>
            </w:r>
          </w:p>
        </w:tc>
        <w:tc>
          <w:tcPr>
            <w:tcW w:w="810" w:type="dxa"/>
            <w:tcBorders>
              <w:top w:val="single" w:sz="4" w:space="0" w:color="auto"/>
              <w:bottom w:val="single" w:sz="4" w:space="0" w:color="auto"/>
            </w:tcBorders>
          </w:tcPr>
          <w:p w14:paraId="4AB78DA3"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40.7%</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7EC1937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39.3%</w:t>
            </w:r>
          </w:p>
        </w:tc>
        <w:tc>
          <w:tcPr>
            <w:tcW w:w="720" w:type="dxa"/>
            <w:tcBorders>
              <w:top w:val="single" w:sz="4" w:space="0" w:color="auto"/>
              <w:bottom w:val="single" w:sz="4" w:space="0" w:color="auto"/>
            </w:tcBorders>
          </w:tcPr>
          <w:p w14:paraId="6342E943"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4.17</w:t>
            </w:r>
            <w:r w:rsidRPr="00B66EA3">
              <w:rPr>
                <w:rFonts w:ascii="Times New Roman" w:hAnsi="Times New Roman" w:cs="Times New Roman"/>
                <w:sz w:val="20"/>
                <w:szCs w:val="20"/>
              </w:rPr>
              <w:tab/>
            </w:r>
          </w:p>
        </w:tc>
        <w:tc>
          <w:tcPr>
            <w:tcW w:w="1080" w:type="dxa"/>
            <w:tcBorders>
              <w:top w:val="single" w:sz="4" w:space="0" w:color="auto"/>
              <w:bottom w:val="single" w:sz="4" w:space="0" w:color="auto"/>
            </w:tcBorders>
          </w:tcPr>
          <w:p w14:paraId="18FB8FA0"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0.80</w:t>
            </w:r>
          </w:p>
        </w:tc>
      </w:tr>
      <w:tr w:rsidR="003A254A" w:rsidRPr="00D52A49" w14:paraId="105DC254" w14:textId="77777777" w:rsidTr="00C00388">
        <w:tc>
          <w:tcPr>
            <w:tcW w:w="558" w:type="dxa"/>
            <w:tcBorders>
              <w:top w:val="single" w:sz="4" w:space="0" w:color="auto"/>
              <w:bottom w:val="single" w:sz="4" w:space="0" w:color="auto"/>
            </w:tcBorders>
          </w:tcPr>
          <w:p w14:paraId="7293CA96"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9.</w:t>
            </w:r>
          </w:p>
        </w:tc>
        <w:tc>
          <w:tcPr>
            <w:tcW w:w="2520" w:type="dxa"/>
            <w:tcBorders>
              <w:top w:val="single" w:sz="4" w:space="0" w:color="auto"/>
              <w:bottom w:val="single" w:sz="4" w:space="0" w:color="auto"/>
            </w:tcBorders>
          </w:tcPr>
          <w:p w14:paraId="2ACFCAF0"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can enhance my ability in role play task.</w:t>
            </w:r>
          </w:p>
        </w:tc>
        <w:tc>
          <w:tcPr>
            <w:tcW w:w="990" w:type="dxa"/>
            <w:tcBorders>
              <w:top w:val="single" w:sz="4" w:space="0" w:color="auto"/>
              <w:bottom w:val="single" w:sz="4" w:space="0" w:color="auto"/>
            </w:tcBorders>
          </w:tcPr>
          <w:p w14:paraId="00A92924"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749BF648"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00" w:type="dxa"/>
            <w:tcBorders>
              <w:top w:val="single" w:sz="4" w:space="0" w:color="auto"/>
              <w:bottom w:val="single" w:sz="4" w:space="0" w:color="auto"/>
            </w:tcBorders>
          </w:tcPr>
          <w:p w14:paraId="1E442ECE"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17.9%</w:t>
            </w:r>
            <w:r w:rsidRPr="00B66EA3">
              <w:rPr>
                <w:rFonts w:ascii="Times New Roman" w:hAnsi="Times New Roman" w:cs="Times New Roman"/>
                <w:sz w:val="20"/>
                <w:szCs w:val="20"/>
              </w:rPr>
              <w:tab/>
            </w:r>
          </w:p>
        </w:tc>
        <w:tc>
          <w:tcPr>
            <w:tcW w:w="810" w:type="dxa"/>
            <w:tcBorders>
              <w:top w:val="single" w:sz="4" w:space="0" w:color="auto"/>
              <w:bottom w:val="single" w:sz="4" w:space="0" w:color="auto"/>
            </w:tcBorders>
          </w:tcPr>
          <w:p w14:paraId="38C46396"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36.4%</w:t>
            </w:r>
            <w:r w:rsidRPr="00B66EA3">
              <w:rPr>
                <w:rFonts w:ascii="Times New Roman" w:hAnsi="Times New Roman" w:cs="Times New Roman"/>
                <w:sz w:val="20"/>
                <w:szCs w:val="20"/>
              </w:rPr>
              <w:tab/>
            </w:r>
          </w:p>
        </w:tc>
        <w:tc>
          <w:tcPr>
            <w:tcW w:w="990" w:type="dxa"/>
            <w:tcBorders>
              <w:top w:val="single" w:sz="4" w:space="0" w:color="auto"/>
              <w:bottom w:val="single" w:sz="4" w:space="0" w:color="auto"/>
            </w:tcBorders>
          </w:tcPr>
          <w:p w14:paraId="612D47A8"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44.3%</w:t>
            </w:r>
          </w:p>
        </w:tc>
        <w:tc>
          <w:tcPr>
            <w:tcW w:w="720" w:type="dxa"/>
            <w:tcBorders>
              <w:top w:val="single" w:sz="4" w:space="0" w:color="auto"/>
              <w:bottom w:val="single" w:sz="4" w:space="0" w:color="auto"/>
            </w:tcBorders>
          </w:tcPr>
          <w:p w14:paraId="2122F3E4"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4.23</w:t>
            </w:r>
            <w:r w:rsidRPr="00B66EA3">
              <w:rPr>
                <w:rFonts w:ascii="Times New Roman" w:hAnsi="Times New Roman" w:cs="Times New Roman"/>
                <w:sz w:val="20"/>
                <w:szCs w:val="20"/>
              </w:rPr>
              <w:tab/>
            </w:r>
          </w:p>
        </w:tc>
        <w:tc>
          <w:tcPr>
            <w:tcW w:w="1080" w:type="dxa"/>
            <w:tcBorders>
              <w:top w:val="single" w:sz="4" w:space="0" w:color="auto"/>
              <w:bottom w:val="single" w:sz="4" w:space="0" w:color="auto"/>
            </w:tcBorders>
          </w:tcPr>
          <w:p w14:paraId="54F32EF8"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0.81</w:t>
            </w:r>
          </w:p>
        </w:tc>
      </w:tr>
      <w:tr w:rsidR="003A254A" w:rsidRPr="00D52A49" w14:paraId="797204E8" w14:textId="77777777" w:rsidTr="00C00388">
        <w:tc>
          <w:tcPr>
            <w:tcW w:w="558" w:type="dxa"/>
            <w:tcBorders>
              <w:top w:val="single" w:sz="4" w:space="0" w:color="auto"/>
            </w:tcBorders>
          </w:tcPr>
          <w:p w14:paraId="77F4C902"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10.</w:t>
            </w:r>
          </w:p>
        </w:tc>
        <w:tc>
          <w:tcPr>
            <w:tcW w:w="2520" w:type="dxa"/>
            <w:tcBorders>
              <w:top w:val="single" w:sz="4" w:space="0" w:color="auto"/>
            </w:tcBorders>
          </w:tcPr>
          <w:p w14:paraId="04D05049" w14:textId="77777777" w:rsidR="003A254A" w:rsidRPr="00B66EA3" w:rsidRDefault="003A254A" w:rsidP="0051175C">
            <w:pPr>
              <w:rPr>
                <w:rFonts w:ascii="Times New Roman" w:hAnsi="Times New Roman" w:cs="Times New Roman"/>
                <w:sz w:val="20"/>
                <w:szCs w:val="20"/>
              </w:rPr>
            </w:pPr>
            <w:r w:rsidRPr="00B66EA3">
              <w:rPr>
                <w:rFonts w:ascii="Times New Roman" w:hAnsi="Times New Roman" w:cs="Times New Roman"/>
                <w:sz w:val="20"/>
                <w:szCs w:val="20"/>
              </w:rPr>
              <w:t>I think the instructional design used in Chinese class can improve my presentation skills.</w:t>
            </w:r>
          </w:p>
        </w:tc>
        <w:tc>
          <w:tcPr>
            <w:tcW w:w="990" w:type="dxa"/>
            <w:tcBorders>
              <w:top w:val="single" w:sz="4" w:space="0" w:color="auto"/>
            </w:tcBorders>
          </w:tcPr>
          <w:p w14:paraId="46A4AC0E"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90" w:type="dxa"/>
            <w:tcBorders>
              <w:top w:val="single" w:sz="4" w:space="0" w:color="auto"/>
            </w:tcBorders>
          </w:tcPr>
          <w:p w14:paraId="36695D0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0.7%</w:t>
            </w:r>
            <w:r w:rsidRPr="00B66EA3">
              <w:rPr>
                <w:rFonts w:ascii="Times New Roman" w:hAnsi="Times New Roman" w:cs="Times New Roman"/>
                <w:sz w:val="20"/>
                <w:szCs w:val="20"/>
              </w:rPr>
              <w:tab/>
            </w:r>
          </w:p>
        </w:tc>
        <w:tc>
          <w:tcPr>
            <w:tcW w:w="900" w:type="dxa"/>
            <w:tcBorders>
              <w:top w:val="single" w:sz="4" w:space="0" w:color="auto"/>
            </w:tcBorders>
          </w:tcPr>
          <w:p w14:paraId="03224AAF"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21.4%</w:t>
            </w:r>
            <w:r w:rsidRPr="00B66EA3">
              <w:rPr>
                <w:rFonts w:ascii="Times New Roman" w:hAnsi="Times New Roman" w:cs="Times New Roman"/>
                <w:sz w:val="20"/>
                <w:szCs w:val="20"/>
              </w:rPr>
              <w:tab/>
            </w:r>
          </w:p>
        </w:tc>
        <w:tc>
          <w:tcPr>
            <w:tcW w:w="810" w:type="dxa"/>
            <w:tcBorders>
              <w:top w:val="single" w:sz="4" w:space="0" w:color="auto"/>
            </w:tcBorders>
          </w:tcPr>
          <w:p w14:paraId="5597C216"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36.4%</w:t>
            </w:r>
            <w:r w:rsidRPr="00B66EA3">
              <w:rPr>
                <w:rFonts w:ascii="Times New Roman" w:hAnsi="Times New Roman" w:cs="Times New Roman"/>
                <w:sz w:val="20"/>
                <w:szCs w:val="20"/>
              </w:rPr>
              <w:tab/>
            </w:r>
          </w:p>
        </w:tc>
        <w:tc>
          <w:tcPr>
            <w:tcW w:w="990" w:type="dxa"/>
            <w:tcBorders>
              <w:top w:val="single" w:sz="4" w:space="0" w:color="auto"/>
            </w:tcBorders>
          </w:tcPr>
          <w:p w14:paraId="39FDADC5"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40.7%</w:t>
            </w:r>
          </w:p>
        </w:tc>
        <w:tc>
          <w:tcPr>
            <w:tcW w:w="720" w:type="dxa"/>
            <w:tcBorders>
              <w:top w:val="single" w:sz="4" w:space="0" w:color="auto"/>
            </w:tcBorders>
          </w:tcPr>
          <w:p w14:paraId="54003F00"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4.16</w:t>
            </w:r>
            <w:r w:rsidRPr="00B66EA3">
              <w:rPr>
                <w:rFonts w:ascii="Times New Roman" w:hAnsi="Times New Roman" w:cs="Times New Roman"/>
                <w:sz w:val="20"/>
                <w:szCs w:val="20"/>
              </w:rPr>
              <w:tab/>
            </w:r>
          </w:p>
        </w:tc>
        <w:tc>
          <w:tcPr>
            <w:tcW w:w="1080" w:type="dxa"/>
            <w:tcBorders>
              <w:top w:val="single" w:sz="4" w:space="0" w:color="auto"/>
            </w:tcBorders>
          </w:tcPr>
          <w:p w14:paraId="287DB413" w14:textId="77777777" w:rsidR="003A254A" w:rsidRPr="00B66EA3" w:rsidRDefault="003A254A" w:rsidP="0051175C">
            <w:pPr>
              <w:jc w:val="both"/>
              <w:rPr>
                <w:rFonts w:ascii="Times New Roman" w:hAnsi="Times New Roman" w:cs="Times New Roman"/>
                <w:sz w:val="20"/>
                <w:szCs w:val="20"/>
              </w:rPr>
            </w:pPr>
            <w:r w:rsidRPr="00B66EA3">
              <w:rPr>
                <w:rFonts w:ascii="Times New Roman" w:hAnsi="Times New Roman" w:cs="Times New Roman"/>
                <w:sz w:val="20"/>
                <w:szCs w:val="20"/>
              </w:rPr>
              <w:t>0.83</w:t>
            </w:r>
          </w:p>
        </w:tc>
      </w:tr>
    </w:tbl>
    <w:p w14:paraId="56143A54" w14:textId="77777777" w:rsidR="00B66EA3" w:rsidRDefault="00B66EA3" w:rsidP="0051175C">
      <w:pPr>
        <w:spacing w:after="0" w:line="240" w:lineRule="auto"/>
        <w:jc w:val="both"/>
        <w:outlineLvl w:val="1"/>
        <w:rPr>
          <w:rFonts w:ascii="Times New Roman" w:eastAsia="Times New Roman" w:hAnsi="Times New Roman" w:cs="Times New Roman"/>
          <w:kern w:val="0"/>
          <w14:ligatures w14:val="none"/>
        </w:rPr>
      </w:pPr>
    </w:p>
    <w:p w14:paraId="64AD1A40" w14:textId="41C24D17" w:rsidR="007A3291" w:rsidRPr="00D52A49" w:rsidRDefault="007A3291" w:rsidP="00B66EA3">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From a cognitive perspective, learners reported that POA supports vocabulary acquisition, sentence structure development, and knowledge application. This suggests that POA facilitates deeper processing of language knowledge, as learners are required to actively apply linguistic forms in meaningful contexts rather than relying solely on memorization. These findings are consistent with previous research highlighting the role of output-driven tasks in promoting noticing and internalization of language forms (Xuan et al., 2023; Gao &amp; Wang, 2023).</w:t>
      </w:r>
    </w:p>
    <w:p w14:paraId="5045C32C" w14:textId="77777777" w:rsidR="002137D6" w:rsidRDefault="002137D6" w:rsidP="0051175C">
      <w:pPr>
        <w:spacing w:after="0" w:line="240" w:lineRule="auto"/>
        <w:jc w:val="both"/>
        <w:outlineLvl w:val="1"/>
        <w:rPr>
          <w:rFonts w:ascii="Times New Roman" w:eastAsia="Times New Roman" w:hAnsi="Times New Roman" w:cs="Times New Roman"/>
          <w:kern w:val="0"/>
          <w14:ligatures w14:val="none"/>
        </w:rPr>
      </w:pPr>
    </w:p>
    <w:p w14:paraId="058E95BB" w14:textId="3D5DBDC3" w:rsidR="007A3291" w:rsidRPr="00D52A49" w:rsidRDefault="007A3291" w:rsidP="002137D6">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From a behavioral perspective, students also reported increased motivation, engagement, and participation. Qualitative responses reinforce this finding, with students describing the learning experience as “very good,” “effective,” and engaging. Some students also suggested incorporating more interactive elements, such as “</w:t>
      </w:r>
      <w:r w:rsidR="00EF60A6" w:rsidRPr="00D52A49">
        <w:rPr>
          <w:rFonts w:ascii="Times New Roman" w:eastAsia="Times New Roman" w:hAnsi="Times New Roman" w:cs="Times New Roman"/>
          <w:kern w:val="0"/>
          <w14:ligatures w14:val="none"/>
        </w:rPr>
        <w:t xml:space="preserve">more </w:t>
      </w:r>
      <w:r w:rsidRPr="00D52A49">
        <w:rPr>
          <w:rFonts w:ascii="Times New Roman" w:eastAsia="Times New Roman" w:hAnsi="Times New Roman" w:cs="Times New Roman"/>
          <w:kern w:val="0"/>
          <w14:ligatures w14:val="none"/>
        </w:rPr>
        <w:t>games”</w:t>
      </w:r>
      <w:r w:rsidR="00EF60A6" w:rsidRPr="00D52A49">
        <w:rPr>
          <w:rFonts w:ascii="Times New Roman" w:eastAsia="Times New Roman" w:hAnsi="Times New Roman" w:cs="Times New Roman"/>
          <w:kern w:val="0"/>
          <w14:ligatures w14:val="none"/>
        </w:rPr>
        <w:t xml:space="preserve"> and</w:t>
      </w:r>
      <w:r w:rsidRPr="00D52A49">
        <w:rPr>
          <w:rFonts w:ascii="Times New Roman" w:eastAsia="Times New Roman" w:hAnsi="Times New Roman" w:cs="Times New Roman"/>
          <w:kern w:val="0"/>
          <w14:ligatures w14:val="none"/>
        </w:rPr>
        <w:t xml:space="preserve"> “</w:t>
      </w:r>
      <w:r w:rsidR="00EF60A6" w:rsidRPr="00D52A49">
        <w:rPr>
          <w:rFonts w:ascii="Times New Roman" w:eastAsia="Times New Roman" w:hAnsi="Times New Roman" w:cs="Times New Roman"/>
          <w:kern w:val="0"/>
          <w14:ligatures w14:val="none"/>
        </w:rPr>
        <w:t xml:space="preserve">use </w:t>
      </w:r>
      <w:r w:rsidRPr="00D52A49">
        <w:rPr>
          <w:rFonts w:ascii="Times New Roman" w:eastAsia="Times New Roman" w:hAnsi="Times New Roman" w:cs="Times New Roman"/>
          <w:kern w:val="0"/>
          <w14:ligatures w14:val="none"/>
        </w:rPr>
        <w:t>flashcards</w:t>
      </w:r>
      <w:r w:rsidR="00AF2AD1" w:rsidRPr="00D52A49">
        <w:rPr>
          <w:rFonts w:ascii="Times New Roman" w:eastAsia="Times New Roman" w:hAnsi="Times New Roman" w:cs="Times New Roman"/>
          <w:kern w:val="0"/>
          <w14:ligatures w14:val="none"/>
        </w:rPr>
        <w:t>”, to</w:t>
      </w:r>
      <w:r w:rsidRPr="00D52A49">
        <w:rPr>
          <w:rFonts w:ascii="Times New Roman" w:eastAsia="Times New Roman" w:hAnsi="Times New Roman" w:cs="Times New Roman"/>
          <w:kern w:val="0"/>
          <w14:ligatures w14:val="none"/>
        </w:rPr>
        <w:t xml:space="preserve"> enhance classroom engagement and make learning more enjoyable.</w:t>
      </w:r>
    </w:p>
    <w:p w14:paraId="5877BB8E" w14:textId="77777777" w:rsidR="002137D6" w:rsidRDefault="002137D6" w:rsidP="0051175C">
      <w:pPr>
        <w:spacing w:after="0" w:line="240" w:lineRule="auto"/>
        <w:jc w:val="both"/>
        <w:outlineLvl w:val="1"/>
        <w:rPr>
          <w:rFonts w:ascii="Times New Roman" w:eastAsia="Times New Roman" w:hAnsi="Times New Roman" w:cs="Times New Roman"/>
          <w:kern w:val="0"/>
          <w14:ligatures w14:val="none"/>
        </w:rPr>
      </w:pPr>
    </w:p>
    <w:p w14:paraId="4DED7B5D" w14:textId="1F5D46F4" w:rsidR="007A3291" w:rsidRPr="00D52A49" w:rsidRDefault="007A3291" w:rsidP="002137D6">
      <w:pPr>
        <w:spacing w:after="0" w:line="240" w:lineRule="auto"/>
        <w:ind w:firstLine="720"/>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Interestingly, the qualitative data </w:t>
      </w:r>
      <w:r w:rsidR="00AF2AD1" w:rsidRPr="00D52A49">
        <w:rPr>
          <w:rFonts w:ascii="Times New Roman" w:eastAsia="Times New Roman" w:hAnsi="Times New Roman" w:cs="Times New Roman"/>
          <w:kern w:val="0"/>
          <w14:ligatures w14:val="none"/>
        </w:rPr>
        <w:t>reveals</w:t>
      </w:r>
      <w:r w:rsidRPr="00D52A49">
        <w:rPr>
          <w:rFonts w:ascii="Times New Roman" w:eastAsia="Times New Roman" w:hAnsi="Times New Roman" w:cs="Times New Roman"/>
          <w:kern w:val="0"/>
          <w14:ligatures w14:val="none"/>
        </w:rPr>
        <w:t xml:space="preserve"> a balance between the need for support and the desire for immersion. While some students emphasized the importance of translation and the use of Malay or English for better understanding, others suggested increasing the use of Mandarin in classroom interaction, for example by “communicating </w:t>
      </w:r>
      <w:r w:rsidR="00AF2AD1" w:rsidRPr="00D52A49">
        <w:rPr>
          <w:rFonts w:ascii="Times New Roman" w:eastAsia="Times New Roman" w:hAnsi="Times New Roman" w:cs="Times New Roman"/>
          <w:kern w:val="0"/>
          <w14:ligatures w14:val="none"/>
        </w:rPr>
        <w:t xml:space="preserve">more </w:t>
      </w:r>
      <w:r w:rsidRPr="00D52A49">
        <w:rPr>
          <w:rFonts w:ascii="Times New Roman" w:eastAsia="Times New Roman" w:hAnsi="Times New Roman" w:cs="Times New Roman"/>
          <w:kern w:val="0"/>
          <w14:ligatures w14:val="none"/>
        </w:rPr>
        <w:t>in Mandarin during class hours” or “conducting more lessons entirely in Mandarin.”</w:t>
      </w:r>
    </w:p>
    <w:p w14:paraId="6B59AAA6" w14:textId="77777777" w:rsidR="002137D6" w:rsidRDefault="002137D6" w:rsidP="0051175C">
      <w:pPr>
        <w:spacing w:after="0" w:line="240" w:lineRule="auto"/>
        <w:jc w:val="both"/>
        <w:outlineLvl w:val="1"/>
        <w:rPr>
          <w:rFonts w:ascii="Times New Roman" w:eastAsia="Times New Roman" w:hAnsi="Times New Roman" w:cs="Times New Roman"/>
          <w:kern w:val="0"/>
          <w14:ligatures w14:val="none"/>
        </w:rPr>
      </w:pPr>
    </w:p>
    <w:p w14:paraId="3539CC76" w14:textId="04632A47" w:rsidR="007A3291" w:rsidRDefault="007A3291" w:rsidP="0051175C">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The coexistence of these contrasting preferences suggests a pedagogical tension between scaffolding and immersion. Beginner learners rely on their first language to support comprehension, yet they also recognize the importance of increased exposure to the target language for developing fluency. This highlights the need for a balanced instructional approach that gradually reduces reliance on translation while increasing opportunities for meaningful interaction in Mandarin.</w:t>
      </w:r>
    </w:p>
    <w:p w14:paraId="439F53BD" w14:textId="77777777" w:rsidR="00C00388" w:rsidRDefault="00C00388" w:rsidP="0051175C">
      <w:pPr>
        <w:spacing w:after="0" w:line="240" w:lineRule="auto"/>
        <w:jc w:val="both"/>
        <w:outlineLvl w:val="1"/>
        <w:rPr>
          <w:rFonts w:ascii="Times New Roman" w:eastAsia="Times New Roman" w:hAnsi="Times New Roman" w:cs="Times New Roman"/>
          <w:kern w:val="0"/>
          <w14:ligatures w14:val="none"/>
        </w:rPr>
      </w:pPr>
    </w:p>
    <w:p w14:paraId="383906FD" w14:textId="77777777" w:rsidR="00C00388" w:rsidRPr="00D52A49" w:rsidRDefault="00C00388" w:rsidP="0051175C">
      <w:pPr>
        <w:spacing w:after="0" w:line="240" w:lineRule="auto"/>
        <w:jc w:val="both"/>
        <w:outlineLvl w:val="1"/>
        <w:rPr>
          <w:rFonts w:ascii="Times New Roman" w:eastAsia="Times New Roman" w:hAnsi="Times New Roman" w:cs="Times New Roman"/>
          <w:kern w:val="0"/>
          <w14:ligatures w14:val="none"/>
        </w:rPr>
      </w:pPr>
    </w:p>
    <w:p w14:paraId="68A0CBD5" w14:textId="77777777" w:rsidR="002137D6" w:rsidRDefault="002137D6" w:rsidP="0051175C">
      <w:pPr>
        <w:spacing w:after="0" w:line="240" w:lineRule="auto"/>
        <w:jc w:val="both"/>
        <w:outlineLvl w:val="1"/>
        <w:rPr>
          <w:rFonts w:ascii="Times New Roman" w:eastAsia="Times New Roman" w:hAnsi="Times New Roman" w:cs="Times New Roman"/>
          <w:b/>
          <w:bCs/>
          <w:i/>
          <w:iCs/>
          <w:kern w:val="0"/>
          <w14:ligatures w14:val="none"/>
        </w:rPr>
      </w:pPr>
    </w:p>
    <w:p w14:paraId="287D9924" w14:textId="69F49FBC" w:rsidR="007A3291" w:rsidRPr="00067866" w:rsidRDefault="007A3291" w:rsidP="0051175C">
      <w:pPr>
        <w:spacing w:after="0" w:line="240" w:lineRule="auto"/>
        <w:jc w:val="both"/>
        <w:outlineLvl w:val="1"/>
        <w:rPr>
          <w:rFonts w:ascii="Times New Roman" w:eastAsia="Times New Roman" w:hAnsi="Times New Roman" w:cs="Times New Roman"/>
          <w:b/>
          <w:bCs/>
          <w:kern w:val="0"/>
          <w14:ligatures w14:val="none"/>
        </w:rPr>
      </w:pPr>
      <w:r w:rsidRPr="00067866">
        <w:rPr>
          <w:rFonts w:ascii="Times New Roman" w:eastAsia="Times New Roman" w:hAnsi="Times New Roman" w:cs="Times New Roman"/>
          <w:b/>
          <w:bCs/>
          <w:kern w:val="0"/>
          <w14:ligatures w14:val="none"/>
        </w:rPr>
        <w:t>Relationships Between Perceived Learning Dimensions</w:t>
      </w:r>
    </w:p>
    <w:p w14:paraId="08EC1384" w14:textId="2EC8113B" w:rsidR="007A3291" w:rsidRPr="00D52A49" w:rsidRDefault="007A3291" w:rsidP="0051175C">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Pearson correlation analysis revealed strong positive relationships between perceived language proficiency and learning processes, with coefficients ranging from 0.76 to 0.82 (p &lt; 0.01). This indicates that learners who reported greater perceived improvements in language skills also tended to report higher levels of engagement and cognitive development. However, this relationship should be interpreted with caution. The correlation reflects an association between learners’ perceptions rather than evidence of causal relationships. It is possible that learners who are more engaged and motivated are more likely to perceive improvement in their language abilities, rather than POA directly causing these outcomes. Therefore, the findings highlight the interconnected nature of perceived language development and learning processes, rather than establishing direct causal effects.</w:t>
      </w:r>
    </w:p>
    <w:p w14:paraId="7DA6FF19" w14:textId="77777777" w:rsidR="00292FB6" w:rsidRDefault="00292FB6" w:rsidP="0051175C">
      <w:pPr>
        <w:spacing w:after="0" w:line="240" w:lineRule="auto"/>
        <w:jc w:val="both"/>
        <w:outlineLvl w:val="1"/>
        <w:rPr>
          <w:rFonts w:ascii="Times New Roman" w:eastAsia="Times New Roman" w:hAnsi="Times New Roman" w:cs="Times New Roman"/>
          <w:b/>
          <w:bCs/>
          <w:i/>
          <w:iCs/>
          <w:kern w:val="0"/>
          <w14:ligatures w14:val="none"/>
        </w:rPr>
      </w:pPr>
    </w:p>
    <w:p w14:paraId="143BF1FD" w14:textId="20B5E88C" w:rsidR="007A3291" w:rsidRPr="00067866" w:rsidRDefault="007A3291" w:rsidP="0051175C">
      <w:pPr>
        <w:spacing w:after="0" w:line="240" w:lineRule="auto"/>
        <w:jc w:val="both"/>
        <w:outlineLvl w:val="1"/>
        <w:rPr>
          <w:rFonts w:ascii="Times New Roman" w:eastAsia="Times New Roman" w:hAnsi="Times New Roman" w:cs="Times New Roman"/>
          <w:b/>
          <w:bCs/>
          <w:kern w:val="0"/>
          <w14:ligatures w14:val="none"/>
        </w:rPr>
      </w:pPr>
      <w:r w:rsidRPr="00067866">
        <w:rPr>
          <w:rFonts w:ascii="Times New Roman" w:eastAsia="Times New Roman" w:hAnsi="Times New Roman" w:cs="Times New Roman"/>
          <w:b/>
          <w:bCs/>
          <w:kern w:val="0"/>
          <w14:ligatures w14:val="none"/>
        </w:rPr>
        <w:t>Overall Interpretation</w:t>
      </w:r>
    </w:p>
    <w:p w14:paraId="4800BF30" w14:textId="33969291" w:rsidR="007A3291" w:rsidRPr="00D52A49" w:rsidRDefault="007A3291" w:rsidP="0051175C">
      <w:pPr>
        <w:spacing w:after="0" w:line="240" w:lineRule="auto"/>
        <w:jc w:val="both"/>
        <w:outlineLvl w:val="1"/>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Overall, the findings suggest that POA is perceived as a supportive and engaging instructional approach in beginner-level Malaysian CFL classrooms. It appears to be particularly effective in facilitating structured language development and promoting active learning. However, its perceived effectiveness is uneven across language skills, with oral communication requiring additional support through increased interaction and exposure. The integration of quantitative and qualitative findings provides a more comprehensive understanding of learners’ experiences, highlighting both the strengths of POA and areas for further improvement in instructional design. These findings suggest that the effectiveness of POA is not inherent to the approach itself, but depends on how it is implemented, particularly in balancing structured output with opportunities for interactive and spontaneous language use.</w:t>
      </w:r>
    </w:p>
    <w:p w14:paraId="2021D9AF" w14:textId="77777777" w:rsidR="00292FB6" w:rsidRDefault="00292FB6" w:rsidP="0051175C">
      <w:pPr>
        <w:spacing w:after="0" w:line="240" w:lineRule="auto"/>
        <w:jc w:val="center"/>
        <w:outlineLvl w:val="1"/>
        <w:rPr>
          <w:rFonts w:ascii="Times New Roman" w:eastAsia="Times New Roman" w:hAnsi="Times New Roman" w:cs="Times New Roman"/>
          <w:b/>
          <w:bCs/>
          <w:kern w:val="0"/>
          <w14:ligatures w14:val="none"/>
        </w:rPr>
      </w:pPr>
    </w:p>
    <w:p w14:paraId="5E48DCF8" w14:textId="77777777" w:rsidR="00292FB6" w:rsidRDefault="00292FB6" w:rsidP="0051175C">
      <w:pPr>
        <w:spacing w:after="0" w:line="240" w:lineRule="auto"/>
        <w:jc w:val="center"/>
        <w:outlineLvl w:val="1"/>
        <w:rPr>
          <w:rFonts w:ascii="Times New Roman" w:eastAsia="Times New Roman" w:hAnsi="Times New Roman" w:cs="Times New Roman"/>
          <w:b/>
          <w:bCs/>
          <w:kern w:val="0"/>
          <w14:ligatures w14:val="none"/>
        </w:rPr>
      </w:pPr>
    </w:p>
    <w:p w14:paraId="5B4997F6" w14:textId="77777777" w:rsidR="00EE2C1F" w:rsidRDefault="00EE2C1F" w:rsidP="0051175C">
      <w:pPr>
        <w:spacing w:after="0" w:line="240" w:lineRule="auto"/>
        <w:jc w:val="center"/>
        <w:outlineLvl w:val="1"/>
        <w:rPr>
          <w:rFonts w:ascii="Times New Roman" w:eastAsia="Times New Roman" w:hAnsi="Times New Roman" w:cs="Times New Roman"/>
          <w:b/>
          <w:bCs/>
          <w:kern w:val="0"/>
          <w14:ligatures w14:val="none"/>
        </w:rPr>
      </w:pPr>
    </w:p>
    <w:p w14:paraId="7804532E" w14:textId="4DA8C2E0" w:rsidR="003A254A" w:rsidRDefault="003A254A" w:rsidP="0051175C">
      <w:pPr>
        <w:spacing w:after="0" w:line="240" w:lineRule="auto"/>
        <w:jc w:val="center"/>
        <w:outlineLvl w:val="1"/>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LIMITATIONS AND RECOMMENDATIONS</w:t>
      </w:r>
    </w:p>
    <w:p w14:paraId="21C8E76E" w14:textId="77777777" w:rsidR="00067866" w:rsidRPr="00D52A49" w:rsidRDefault="00067866" w:rsidP="0051175C">
      <w:pPr>
        <w:spacing w:after="0" w:line="240" w:lineRule="auto"/>
        <w:jc w:val="center"/>
        <w:outlineLvl w:val="1"/>
        <w:rPr>
          <w:rFonts w:ascii="Times New Roman" w:eastAsia="Times New Roman" w:hAnsi="Times New Roman" w:cs="Times New Roman"/>
          <w:b/>
          <w:bCs/>
          <w:kern w:val="0"/>
          <w14:ligatures w14:val="none"/>
        </w:rPr>
      </w:pPr>
    </w:p>
    <w:p w14:paraId="58F80E3C" w14:textId="77777777" w:rsidR="003A254A" w:rsidRPr="00D52A49" w:rsidRDefault="003A254A"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study has several limitations. First, it was conducted at a single Malaysian public university with beginner-level CFL learners, which limits the generalizability of the findings. Second, the study relies on self-reported perceptions rather than objective measures of language performance. Third, data were collected at a single point in time, which does not capture changes over time. Future research should combine perception data with objective measures such as speaking or writing assessments and adopt longitudinal designs to examine development over time. Comparative studies across different proficiency levels and contexts are also recommended. Further research may also explore ways to better support speaking and listening skills within POA-based instruction.</w:t>
      </w:r>
    </w:p>
    <w:p w14:paraId="6311A015" w14:textId="77777777" w:rsidR="00292FB6" w:rsidRDefault="00292FB6" w:rsidP="0051175C">
      <w:pPr>
        <w:spacing w:after="0" w:line="240" w:lineRule="auto"/>
        <w:jc w:val="center"/>
        <w:rPr>
          <w:rFonts w:ascii="Times New Roman" w:eastAsia="Times New Roman" w:hAnsi="Times New Roman" w:cs="Times New Roman"/>
          <w:b/>
          <w:bCs/>
          <w:kern w:val="0"/>
          <w14:ligatures w14:val="none"/>
        </w:rPr>
      </w:pPr>
    </w:p>
    <w:p w14:paraId="7F540702" w14:textId="77777777" w:rsidR="00292FB6" w:rsidRDefault="00292FB6" w:rsidP="0051175C">
      <w:pPr>
        <w:spacing w:after="0" w:line="240" w:lineRule="auto"/>
        <w:jc w:val="center"/>
        <w:rPr>
          <w:rFonts w:ascii="Times New Roman" w:eastAsia="Times New Roman" w:hAnsi="Times New Roman" w:cs="Times New Roman"/>
          <w:b/>
          <w:bCs/>
          <w:kern w:val="0"/>
          <w14:ligatures w14:val="none"/>
        </w:rPr>
      </w:pPr>
    </w:p>
    <w:p w14:paraId="098AB62B" w14:textId="77777777" w:rsidR="00EE2C1F" w:rsidRDefault="00EE2C1F" w:rsidP="0051175C">
      <w:pPr>
        <w:spacing w:after="0" w:line="240" w:lineRule="auto"/>
        <w:jc w:val="center"/>
        <w:rPr>
          <w:rFonts w:ascii="Times New Roman" w:eastAsia="Times New Roman" w:hAnsi="Times New Roman" w:cs="Times New Roman"/>
          <w:b/>
          <w:bCs/>
          <w:kern w:val="0"/>
          <w14:ligatures w14:val="none"/>
        </w:rPr>
      </w:pPr>
    </w:p>
    <w:p w14:paraId="3F46FDD2" w14:textId="3637375F" w:rsidR="003A254A" w:rsidRDefault="003A254A" w:rsidP="0051175C">
      <w:pPr>
        <w:spacing w:after="0" w:line="240" w:lineRule="auto"/>
        <w:jc w:val="center"/>
        <w:rPr>
          <w:rFonts w:ascii="Times New Roman" w:eastAsia="Times New Roman" w:hAnsi="Times New Roman" w:cs="Times New Roman"/>
          <w:b/>
          <w:bCs/>
          <w:kern w:val="0"/>
          <w14:ligatures w14:val="none"/>
        </w:rPr>
      </w:pPr>
      <w:r w:rsidRPr="00D52A49">
        <w:rPr>
          <w:rFonts w:ascii="Times New Roman" w:eastAsia="Times New Roman" w:hAnsi="Times New Roman" w:cs="Times New Roman"/>
          <w:b/>
          <w:bCs/>
          <w:kern w:val="0"/>
          <w14:ligatures w14:val="none"/>
        </w:rPr>
        <w:t>CONCLUSION</w:t>
      </w:r>
    </w:p>
    <w:p w14:paraId="31F85416" w14:textId="77777777" w:rsidR="005F5CA6" w:rsidRPr="00D52A49" w:rsidRDefault="005F5CA6" w:rsidP="0051175C">
      <w:pPr>
        <w:spacing w:after="0" w:line="240" w:lineRule="auto"/>
        <w:jc w:val="center"/>
        <w:rPr>
          <w:rFonts w:ascii="Times New Roman" w:eastAsia="Times New Roman" w:hAnsi="Times New Roman" w:cs="Times New Roman"/>
          <w:b/>
          <w:bCs/>
          <w:kern w:val="0"/>
          <w14:ligatures w14:val="none"/>
        </w:rPr>
      </w:pPr>
    </w:p>
    <w:p w14:paraId="5AE9D893" w14:textId="7AE60E9F" w:rsidR="007A3291" w:rsidRDefault="007A3291" w:rsidP="0051175C">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This study examined beginner-level Malaysian CFL learners’ perceptions of the Production-Oriented Approach (POA) in a higher education context. The findings indicate that POA is generally perceived as a supportive and engaging instructional approach that facilitates both language development and active learning. However, the pattern of perceived development is not uniform across language skills, with stronger gains reported in reading, writing, translation and sentence construction, and comparatively slower development in speaking and listening. These findings suggest that POA, as implemented in this context, is particularly effective in supporting structured and output-oriented language use. At the same time, the relatively weaker perceived development in oral skills highlights the need for greater emphasis on interaction and exposure to spoken language, especially for beginner learners who require more opportunities for real-time communication.</w:t>
      </w:r>
    </w:p>
    <w:p w14:paraId="3A61CB38" w14:textId="77777777" w:rsidR="00C00388" w:rsidRPr="00D52A49" w:rsidRDefault="00C00388" w:rsidP="0051175C">
      <w:pPr>
        <w:spacing w:after="0" w:line="240" w:lineRule="auto"/>
        <w:jc w:val="both"/>
        <w:rPr>
          <w:rFonts w:ascii="Times New Roman" w:eastAsia="Times New Roman" w:hAnsi="Times New Roman" w:cs="Times New Roman"/>
          <w:kern w:val="0"/>
          <w14:ligatures w14:val="none"/>
        </w:rPr>
      </w:pPr>
    </w:p>
    <w:p w14:paraId="7F4C29D3" w14:textId="08CFB5C2" w:rsidR="007A3291" w:rsidRPr="00D52A49" w:rsidRDefault="007A3291" w:rsidP="005F5CA6">
      <w:pPr>
        <w:spacing w:after="0" w:line="240" w:lineRule="auto"/>
        <w:ind w:firstLine="720"/>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The study also highlights the close relationship between perceived language development and learning processes, including cognitive engagement and active participation. This suggests that POA not only supports language use but also promotes deeper involvement in learning through task-based and communicative activities. However, as the findings are based on learners’ self-reported perceptions, they should not be interpreted as evidence of actual learning gains. This study contributes to the literature by extending research on POA to a Malaysian CFL context and by focusing on beginner-level learners, whose experiences remain underrepresented. It also provides a more integrated understanding of how language proficiency and learning processes are perceived within POA-based instruction.</w:t>
      </w:r>
    </w:p>
    <w:p w14:paraId="11F973E7" w14:textId="77777777" w:rsidR="005F5CA6" w:rsidRDefault="005F5CA6" w:rsidP="0051175C">
      <w:pPr>
        <w:spacing w:after="0" w:line="240" w:lineRule="auto"/>
        <w:jc w:val="both"/>
        <w:rPr>
          <w:rFonts w:ascii="Times New Roman" w:eastAsia="Times New Roman" w:hAnsi="Times New Roman" w:cs="Times New Roman"/>
          <w:kern w:val="0"/>
          <w14:ligatures w14:val="none"/>
        </w:rPr>
      </w:pPr>
    </w:p>
    <w:p w14:paraId="1C75A9B6" w14:textId="6AF1C557" w:rsidR="00E94BBF" w:rsidRPr="006B5D91" w:rsidRDefault="007A3291" w:rsidP="006B5D91">
      <w:pPr>
        <w:spacing w:after="0" w:line="240" w:lineRule="auto"/>
        <w:jc w:val="both"/>
        <w:rPr>
          <w:rFonts w:ascii="Times New Roman" w:eastAsia="Times New Roman" w:hAnsi="Times New Roman" w:cs="Times New Roman"/>
          <w:kern w:val="0"/>
          <w14:ligatures w14:val="none"/>
        </w:rPr>
      </w:pPr>
      <w:r w:rsidRPr="00D52A49">
        <w:rPr>
          <w:rFonts w:ascii="Times New Roman" w:eastAsia="Times New Roman" w:hAnsi="Times New Roman" w:cs="Times New Roman"/>
          <w:kern w:val="0"/>
          <w14:ligatures w14:val="none"/>
        </w:rPr>
        <w:t xml:space="preserve">From a pedagogical perspective, the findings highlight the importance of balancing structured output with opportunities for interactive and communicative practice. </w:t>
      </w:r>
      <w:r w:rsidR="00BC7AD9" w:rsidRPr="00D52A49">
        <w:rPr>
          <w:rFonts w:ascii="Times New Roman" w:eastAsia="Times New Roman" w:hAnsi="Times New Roman" w:cs="Times New Roman"/>
          <w:kern w:val="0"/>
          <w14:ligatures w14:val="none"/>
        </w:rPr>
        <w:t>Instructors</w:t>
      </w:r>
      <w:r w:rsidRPr="00D52A49">
        <w:rPr>
          <w:rFonts w:ascii="Times New Roman" w:eastAsia="Times New Roman" w:hAnsi="Times New Roman" w:cs="Times New Roman"/>
          <w:kern w:val="0"/>
          <w14:ligatures w14:val="none"/>
        </w:rPr>
        <w:t xml:space="preserve"> may consider incorporating more speaking-focused activities and increasing exposure to Mandarin while maintaining appropriate scaffolding for beginner </w:t>
      </w:r>
      <w:r w:rsidR="00BC7AD9" w:rsidRPr="00D52A49">
        <w:rPr>
          <w:rFonts w:ascii="Times New Roman" w:eastAsia="Times New Roman" w:hAnsi="Times New Roman" w:cs="Times New Roman"/>
          <w:kern w:val="0"/>
          <w14:ligatures w14:val="none"/>
        </w:rPr>
        <w:t>learners. Future</w:t>
      </w:r>
      <w:r w:rsidRPr="00D52A49">
        <w:rPr>
          <w:rFonts w:ascii="Times New Roman" w:eastAsia="Times New Roman" w:hAnsi="Times New Roman" w:cs="Times New Roman"/>
          <w:kern w:val="0"/>
          <w14:ligatures w14:val="none"/>
        </w:rPr>
        <w:t xml:space="preserve"> research should combine perception-based data with objective measures of language performance and explore the implementation of POA across different proficiency levels and learning contexts. Longitudinal studies may also provide further insight into how learners’ perceptions and language development evolve over time.</w:t>
      </w:r>
    </w:p>
    <w:p w14:paraId="344184D7" w14:textId="77777777" w:rsidR="00E94BBF" w:rsidRDefault="00E94BBF" w:rsidP="0051175C">
      <w:pPr>
        <w:spacing w:after="0" w:line="240" w:lineRule="auto"/>
        <w:jc w:val="center"/>
        <w:rPr>
          <w:rFonts w:ascii="Times New Roman" w:eastAsia="Times New Roman" w:hAnsi="Times New Roman" w:cs="Times New Roman"/>
          <w:b/>
          <w:bCs/>
          <w:kern w:val="0"/>
          <w14:ligatures w14:val="none"/>
        </w:rPr>
      </w:pPr>
    </w:p>
    <w:p w14:paraId="386E9D7A" w14:textId="3FC3A3DE" w:rsidR="003A254A" w:rsidRDefault="003A254A" w:rsidP="006B5D91">
      <w:pPr>
        <w:spacing w:after="0" w:line="240" w:lineRule="auto"/>
        <w:jc w:val="center"/>
        <w:rPr>
          <w:rFonts w:ascii="Times New Roman" w:eastAsia="Times New Roman" w:hAnsi="Times New Roman" w:cs="Times New Roman"/>
          <w:kern w:val="0"/>
          <w14:ligatures w14:val="none"/>
        </w:rPr>
      </w:pPr>
    </w:p>
    <w:p w14:paraId="7942A252" w14:textId="77777777" w:rsidR="00EE2C1F" w:rsidRPr="00D52A49" w:rsidRDefault="00EE2C1F" w:rsidP="006B5D91">
      <w:pPr>
        <w:spacing w:after="0" w:line="240" w:lineRule="auto"/>
        <w:jc w:val="center"/>
        <w:rPr>
          <w:rFonts w:ascii="Times New Roman" w:eastAsia="Times New Roman" w:hAnsi="Times New Roman" w:cs="Times New Roman"/>
          <w:kern w:val="0"/>
          <w14:ligatures w14:val="none"/>
        </w:rPr>
      </w:pPr>
    </w:p>
    <w:p w14:paraId="069C1CB4" w14:textId="77777777" w:rsidR="003A254A" w:rsidRDefault="003A254A" w:rsidP="0051175C">
      <w:pPr>
        <w:spacing w:after="0" w:line="240" w:lineRule="auto"/>
        <w:jc w:val="center"/>
        <w:rPr>
          <w:rFonts w:ascii="Times New Roman" w:hAnsi="Times New Roman" w:cs="Times New Roman"/>
          <w:b/>
          <w:bCs/>
        </w:rPr>
      </w:pPr>
      <w:r w:rsidRPr="00D52A49">
        <w:rPr>
          <w:rFonts w:ascii="Times New Roman" w:hAnsi="Times New Roman" w:cs="Times New Roman"/>
          <w:b/>
          <w:bCs/>
        </w:rPr>
        <w:t>REFERENCES</w:t>
      </w:r>
    </w:p>
    <w:p w14:paraId="68613804" w14:textId="77777777" w:rsidR="000B5399" w:rsidRPr="00D52A49" w:rsidRDefault="000B5399" w:rsidP="0051175C">
      <w:pPr>
        <w:spacing w:after="0" w:line="240" w:lineRule="auto"/>
        <w:jc w:val="center"/>
        <w:rPr>
          <w:rFonts w:ascii="Times New Roman" w:hAnsi="Times New Roman" w:cs="Times New Roman"/>
          <w:b/>
          <w:bCs/>
        </w:rPr>
      </w:pPr>
    </w:p>
    <w:p w14:paraId="1513A266" w14:textId="77777777" w:rsidR="000B5399" w:rsidRDefault="003A254A" w:rsidP="000B5399">
      <w:pPr>
        <w:pStyle w:val="NormalWeb"/>
        <w:spacing w:before="0" w:beforeAutospacing="0" w:after="0" w:afterAutospacing="0"/>
        <w:jc w:val="both"/>
      </w:pPr>
      <w:r w:rsidRPr="00D52A49">
        <w:t>An, X., &amp; Pan, S. (2024). The application of the production-oriented approach to English reading-</w:t>
      </w:r>
    </w:p>
    <w:p w14:paraId="2E05CE87" w14:textId="601F0B6A" w:rsidR="003A254A" w:rsidRPr="00E22447" w:rsidRDefault="003A254A" w:rsidP="000B5399">
      <w:pPr>
        <w:pStyle w:val="NormalWeb"/>
        <w:spacing w:before="0" w:beforeAutospacing="0" w:after="0" w:afterAutospacing="0"/>
        <w:ind w:left="360"/>
        <w:jc w:val="both"/>
      </w:pPr>
      <w:r w:rsidRPr="00D52A49">
        <w:t xml:space="preserve">writing integration teaching in senior high school. </w:t>
      </w:r>
      <w:r w:rsidRPr="00D52A49">
        <w:rPr>
          <w:rStyle w:val="Emphasis"/>
        </w:rPr>
        <w:t>Region - Educational Research and Reviews</w:t>
      </w:r>
      <w:r w:rsidRPr="00D52A49">
        <w:t xml:space="preserve">. </w:t>
      </w:r>
      <w:hyperlink r:id="rId9" w:history="1">
        <w:r w:rsidR="000B5399" w:rsidRPr="00E22447">
          <w:rPr>
            <w:rStyle w:val="Hyperlink"/>
            <w:color w:val="auto"/>
            <w:u w:val="none"/>
          </w:rPr>
          <w:t>https://doi.org/10.32629/rerr.v6i6.2223</w:t>
        </w:r>
      </w:hyperlink>
    </w:p>
    <w:p w14:paraId="4BCE208A" w14:textId="77777777" w:rsidR="000B5399" w:rsidRPr="00E22447" w:rsidRDefault="003A254A" w:rsidP="000B5399">
      <w:pPr>
        <w:pStyle w:val="NormalWeb"/>
        <w:spacing w:before="0" w:beforeAutospacing="0" w:after="0" w:afterAutospacing="0"/>
        <w:jc w:val="both"/>
      </w:pPr>
      <w:r w:rsidRPr="00E22447">
        <w:t xml:space="preserve">Gao, Y., &amp; Wang, H. (2023). Developing Chinese university students’ academic literacies in </w:t>
      </w:r>
    </w:p>
    <w:p w14:paraId="02B06F55" w14:textId="77777777" w:rsidR="000B5399" w:rsidRPr="00E22447" w:rsidRDefault="003A254A" w:rsidP="000B5399">
      <w:pPr>
        <w:pStyle w:val="NormalWeb"/>
        <w:spacing w:before="0" w:beforeAutospacing="0" w:after="0" w:afterAutospacing="0"/>
        <w:ind w:firstLine="360"/>
        <w:jc w:val="both"/>
      </w:pPr>
      <w:r w:rsidRPr="00E22447">
        <w:t xml:space="preserve">English language classrooms via a production-oriented approach: </w:t>
      </w:r>
      <w:proofErr w:type="gramStart"/>
      <w:r w:rsidRPr="00E22447">
        <w:t>An action research</w:t>
      </w:r>
      <w:proofErr w:type="gramEnd"/>
      <w:r w:rsidRPr="00E22447">
        <w:t xml:space="preserve"> </w:t>
      </w:r>
    </w:p>
    <w:p w14:paraId="2FD0E02B" w14:textId="3DC326B3" w:rsidR="003A254A" w:rsidRPr="00E22447" w:rsidRDefault="003A254A" w:rsidP="000B5399">
      <w:pPr>
        <w:pStyle w:val="NormalWeb"/>
        <w:spacing w:before="0" w:beforeAutospacing="0" w:after="0" w:afterAutospacing="0"/>
        <w:ind w:firstLine="360"/>
        <w:jc w:val="both"/>
      </w:pPr>
      <w:r w:rsidRPr="00E22447">
        <w:t xml:space="preserve">perspective. </w:t>
      </w:r>
      <w:r w:rsidRPr="00E22447">
        <w:rPr>
          <w:rStyle w:val="Emphasis"/>
        </w:rPr>
        <w:t>Frontiers in Psychology, 14</w:t>
      </w:r>
      <w:r w:rsidRPr="00E22447">
        <w:t xml:space="preserve">. </w:t>
      </w:r>
      <w:hyperlink r:id="rId10" w:tgtFrame="_new" w:history="1">
        <w:r w:rsidRPr="00E22447">
          <w:rPr>
            <w:rStyle w:val="Hyperlink"/>
            <w:color w:val="auto"/>
            <w:u w:val="none"/>
          </w:rPr>
          <w:t>https://doi.org/10.3389/fpsyg.2023.1189555</w:t>
        </w:r>
      </w:hyperlink>
    </w:p>
    <w:p w14:paraId="5A4E410C" w14:textId="77777777" w:rsidR="009D3FEA" w:rsidRPr="00E22447" w:rsidRDefault="003A254A" w:rsidP="000B5399">
      <w:pPr>
        <w:pStyle w:val="NormalWeb"/>
        <w:spacing w:before="0" w:beforeAutospacing="0" w:after="0" w:afterAutospacing="0"/>
        <w:jc w:val="both"/>
      </w:pPr>
      <w:r w:rsidRPr="00E22447">
        <w:t xml:space="preserve">Huang, R. (2022). Research on the blended teaching model of English in open education based on </w:t>
      </w:r>
    </w:p>
    <w:p w14:paraId="148F1F5F" w14:textId="77777777" w:rsidR="00DF1F53" w:rsidRPr="00E22447" w:rsidRDefault="003A254A" w:rsidP="00E22447">
      <w:pPr>
        <w:pStyle w:val="NormalWeb"/>
        <w:spacing w:before="0" w:beforeAutospacing="0" w:after="0" w:afterAutospacing="0"/>
        <w:ind w:left="360"/>
      </w:pPr>
      <w:r w:rsidRPr="00E22447">
        <w:t xml:space="preserve">the production-oriented approach. </w:t>
      </w:r>
      <w:r w:rsidRPr="00E22447">
        <w:rPr>
          <w:rStyle w:val="Emphasis"/>
        </w:rPr>
        <w:t>Creative Education</w:t>
      </w:r>
      <w:r w:rsidRPr="00E22447">
        <w:t xml:space="preserve">. </w:t>
      </w:r>
      <w:hyperlink r:id="rId11" w:history="1">
        <w:r w:rsidR="009D3FEA" w:rsidRPr="00E22447">
          <w:rPr>
            <w:rStyle w:val="Hyperlink"/>
            <w:color w:val="auto"/>
            <w:u w:val="none"/>
          </w:rPr>
          <w:t>https://doi.org/10.4236/ce.2022.133058</w:t>
        </w:r>
      </w:hyperlink>
      <w:r w:rsidR="00DF1F53" w:rsidRPr="00E22447">
        <w:t xml:space="preserve"> </w:t>
      </w:r>
    </w:p>
    <w:p w14:paraId="62E5FB7E" w14:textId="77777777" w:rsidR="00DF1F53" w:rsidRPr="00E22447" w:rsidRDefault="00DF1F53" w:rsidP="00DF1F53">
      <w:pPr>
        <w:pStyle w:val="NormalWeb"/>
        <w:spacing w:before="0" w:beforeAutospacing="0" w:after="0" w:afterAutospacing="0"/>
        <w:jc w:val="both"/>
      </w:pPr>
      <w:r w:rsidRPr="00E22447">
        <w:t xml:space="preserve">Lam, K.-C., Suib, N. A. B., Hoe, F.-T., &amp; Wee, S.-P. (2020). Faktor </w:t>
      </w:r>
      <w:proofErr w:type="spellStart"/>
      <w:r w:rsidRPr="00E22447">
        <w:t>pemilihan</w:t>
      </w:r>
      <w:proofErr w:type="spellEnd"/>
      <w:r w:rsidRPr="00E22447">
        <w:t xml:space="preserve"> </w:t>
      </w:r>
      <w:proofErr w:type="spellStart"/>
      <w:r w:rsidRPr="00E22447">
        <w:t>kursus</w:t>
      </w:r>
      <w:proofErr w:type="spellEnd"/>
      <w:r w:rsidRPr="00E22447">
        <w:t xml:space="preserve"> </w:t>
      </w:r>
      <w:proofErr w:type="spellStart"/>
      <w:r w:rsidRPr="00E22447">
        <w:t>bahasa</w:t>
      </w:r>
      <w:proofErr w:type="spellEnd"/>
      <w:r w:rsidRPr="00E22447">
        <w:t xml:space="preserve"> Cina  </w:t>
      </w:r>
    </w:p>
    <w:p w14:paraId="6DD46100" w14:textId="77777777" w:rsidR="00DF1F53" w:rsidRPr="00E22447" w:rsidRDefault="00DF1F53" w:rsidP="00DF1F53">
      <w:pPr>
        <w:pStyle w:val="NormalWeb"/>
        <w:spacing w:before="0" w:beforeAutospacing="0" w:after="0" w:afterAutospacing="0"/>
        <w:jc w:val="both"/>
      </w:pPr>
      <w:r w:rsidRPr="00E22447">
        <w:t xml:space="preserve">      dan </w:t>
      </w:r>
      <w:proofErr w:type="spellStart"/>
      <w:r w:rsidRPr="00E22447">
        <w:t>bahasa</w:t>
      </w:r>
      <w:proofErr w:type="spellEnd"/>
      <w:r w:rsidRPr="00E22447">
        <w:t xml:space="preserve"> </w:t>
      </w:r>
      <w:proofErr w:type="spellStart"/>
      <w:r w:rsidRPr="00E22447">
        <w:t>Jepun</w:t>
      </w:r>
      <w:proofErr w:type="spellEnd"/>
      <w:r w:rsidRPr="00E22447">
        <w:t xml:space="preserve">: Satu </w:t>
      </w:r>
      <w:proofErr w:type="spellStart"/>
      <w:r w:rsidRPr="00E22447">
        <w:t>kajian</w:t>
      </w:r>
      <w:proofErr w:type="spellEnd"/>
      <w:r w:rsidRPr="00E22447">
        <w:t xml:space="preserve"> </w:t>
      </w:r>
      <w:proofErr w:type="spellStart"/>
      <w:r w:rsidRPr="00E22447">
        <w:t>perbandingan</w:t>
      </w:r>
      <w:proofErr w:type="spellEnd"/>
      <w:r w:rsidRPr="00E22447">
        <w:t xml:space="preserve">. </w:t>
      </w:r>
      <w:r w:rsidRPr="00E22447">
        <w:rPr>
          <w:rStyle w:val="Emphasis"/>
        </w:rPr>
        <w:t>MANU Journal of Humanities, 31</w:t>
      </w:r>
      <w:r w:rsidRPr="00E22447">
        <w:t xml:space="preserve">(1), 153–176.  </w:t>
      </w:r>
    </w:p>
    <w:p w14:paraId="7B34A444" w14:textId="224F56D7" w:rsidR="003A254A" w:rsidRPr="00E22447" w:rsidRDefault="00DF1F53" w:rsidP="00DF1F53">
      <w:pPr>
        <w:pStyle w:val="NormalWeb"/>
        <w:spacing w:before="0" w:beforeAutospacing="0" w:after="0" w:afterAutospacing="0"/>
        <w:jc w:val="both"/>
      </w:pPr>
      <w:r w:rsidRPr="00E22447">
        <w:t xml:space="preserve">      </w:t>
      </w:r>
      <w:hyperlink r:id="rId12" w:history="1">
        <w:r w:rsidRPr="00E22447">
          <w:rPr>
            <w:rStyle w:val="Hyperlink"/>
            <w:color w:val="auto"/>
            <w:u w:val="none"/>
          </w:rPr>
          <w:t>https://doi.org/10.51200/manu.v31i1.2096</w:t>
        </w:r>
      </w:hyperlink>
    </w:p>
    <w:p w14:paraId="107E0BB9" w14:textId="01AF8F6B" w:rsidR="009D3FEA" w:rsidRPr="00E22447" w:rsidRDefault="003A254A" w:rsidP="009D3FEA">
      <w:pPr>
        <w:pStyle w:val="NormalWeb"/>
        <w:spacing w:before="0" w:beforeAutospacing="0" w:after="0" w:afterAutospacing="0"/>
        <w:jc w:val="both"/>
      </w:pPr>
      <w:r w:rsidRPr="00E22447">
        <w:t xml:space="preserve">Liu, G., &amp; Zhang, M. (2022). The combination of the production-oriented approach and flipped </w:t>
      </w:r>
    </w:p>
    <w:p w14:paraId="2D8EABF5" w14:textId="7D49BA53" w:rsidR="003A254A" w:rsidRPr="00E22447" w:rsidRDefault="003A254A" w:rsidP="009D3FEA">
      <w:pPr>
        <w:pStyle w:val="NormalWeb"/>
        <w:spacing w:before="0" w:beforeAutospacing="0" w:after="0" w:afterAutospacing="0"/>
        <w:ind w:left="360"/>
        <w:jc w:val="both"/>
      </w:pPr>
      <w:r w:rsidRPr="00E22447">
        <w:t xml:space="preserve">classroom teaching model: </w:t>
      </w:r>
      <w:proofErr w:type="gramStart"/>
      <w:r w:rsidRPr="00E22447">
        <w:t>An experimental research</w:t>
      </w:r>
      <w:proofErr w:type="gramEnd"/>
      <w:r w:rsidRPr="00E22447">
        <w:t xml:space="preserve"> in the listening and speaking class in Chinese senior high school. </w:t>
      </w:r>
      <w:r w:rsidRPr="00E22447">
        <w:rPr>
          <w:rStyle w:val="Emphasis"/>
        </w:rPr>
        <w:t>Theory and Practice in Language Studies</w:t>
      </w:r>
      <w:r w:rsidRPr="00E22447">
        <w:t xml:space="preserve">. </w:t>
      </w:r>
      <w:hyperlink r:id="rId13" w:tgtFrame="_new" w:history="1">
        <w:r w:rsidRPr="00E22447">
          <w:rPr>
            <w:rStyle w:val="Hyperlink"/>
            <w:color w:val="auto"/>
            <w:u w:val="none"/>
          </w:rPr>
          <w:t>https://doi.org/10.17507/tpls.1208.23</w:t>
        </w:r>
      </w:hyperlink>
    </w:p>
    <w:p w14:paraId="00740672" w14:textId="77777777" w:rsidR="009D3FEA" w:rsidRPr="00E22447" w:rsidRDefault="00AF2DCE" w:rsidP="009D3FEA">
      <w:pPr>
        <w:pStyle w:val="NormalWeb"/>
        <w:spacing w:before="0" w:beforeAutospacing="0" w:after="0" w:afterAutospacing="0"/>
        <w:jc w:val="both"/>
        <w:rPr>
          <w:rFonts w:eastAsiaTheme="minorEastAsia"/>
          <w:kern w:val="2"/>
          <w14:ligatures w14:val="standardContextual"/>
        </w:rPr>
      </w:pPr>
      <w:r w:rsidRPr="00E22447">
        <w:rPr>
          <w:rFonts w:eastAsiaTheme="minorEastAsia"/>
          <w:kern w:val="2"/>
          <w14:ligatures w14:val="standardContextual"/>
        </w:rPr>
        <w:t xml:space="preserve">Liu, Z. (2024). The application of the production-oriented approach research teaching method in </w:t>
      </w:r>
    </w:p>
    <w:p w14:paraId="05DEB342" w14:textId="77777777" w:rsidR="009D3FEA" w:rsidRPr="00E22447" w:rsidRDefault="00AF2DCE" w:rsidP="009D3FEA">
      <w:pPr>
        <w:pStyle w:val="NormalWeb"/>
        <w:spacing w:before="0" w:beforeAutospacing="0" w:after="0" w:afterAutospacing="0"/>
        <w:ind w:left="360"/>
        <w:jc w:val="both"/>
        <w:rPr>
          <w:rFonts w:eastAsiaTheme="minorEastAsia"/>
          <w:kern w:val="2"/>
          <w14:ligatures w14:val="standardContextual"/>
        </w:rPr>
      </w:pPr>
      <w:r w:rsidRPr="00E22447">
        <w:rPr>
          <w:rFonts w:eastAsiaTheme="minorEastAsia"/>
          <w:kern w:val="2"/>
          <w14:ligatures w14:val="standardContextual"/>
        </w:rPr>
        <w:t xml:space="preserve">medical academic English course. </w:t>
      </w:r>
      <w:r w:rsidRPr="00E22447">
        <w:rPr>
          <w:rFonts w:eastAsiaTheme="minorEastAsia"/>
          <w:i/>
          <w:iCs/>
          <w:kern w:val="2"/>
          <w14:ligatures w14:val="standardContextual"/>
        </w:rPr>
        <w:t>PLOS ONE, 19</w:t>
      </w:r>
      <w:r w:rsidRPr="00E22447">
        <w:rPr>
          <w:rFonts w:eastAsiaTheme="minorEastAsia"/>
          <w:kern w:val="2"/>
          <w14:ligatures w14:val="standardContextual"/>
        </w:rPr>
        <w:t xml:space="preserve">(2), e0296249. </w:t>
      </w:r>
    </w:p>
    <w:p w14:paraId="5557179E" w14:textId="3B354682" w:rsidR="00AF2DCE" w:rsidRPr="00E22447" w:rsidRDefault="009D3FEA" w:rsidP="009D3FEA">
      <w:pPr>
        <w:pStyle w:val="NormalWeb"/>
        <w:spacing w:before="0" w:beforeAutospacing="0" w:after="0" w:afterAutospacing="0"/>
        <w:ind w:left="360"/>
        <w:jc w:val="both"/>
      </w:pPr>
      <w:hyperlink r:id="rId14" w:history="1">
        <w:r w:rsidRPr="00E22447">
          <w:rPr>
            <w:rStyle w:val="Hyperlink"/>
            <w:rFonts w:eastAsiaTheme="minorEastAsia"/>
            <w:color w:val="auto"/>
            <w:kern w:val="2"/>
            <w:u w:val="none"/>
            <w14:ligatures w14:val="standardContextual"/>
          </w:rPr>
          <w:t>https://doi.org/10.1371/journal.pone.0296249</w:t>
        </w:r>
      </w:hyperlink>
    </w:p>
    <w:p w14:paraId="61F01383" w14:textId="77777777" w:rsidR="009D3FEA" w:rsidRPr="00E22447" w:rsidRDefault="003A254A" w:rsidP="009D3FEA">
      <w:pPr>
        <w:pStyle w:val="NormalWeb"/>
        <w:spacing w:before="0" w:beforeAutospacing="0" w:after="0" w:afterAutospacing="0"/>
        <w:jc w:val="both"/>
      </w:pPr>
      <w:r w:rsidRPr="00E22447">
        <w:t xml:space="preserve">Ma, S. (2023). Application of the production-oriented approach in college integrated English </w:t>
      </w:r>
    </w:p>
    <w:p w14:paraId="565510B6" w14:textId="77777777" w:rsidR="00DF1F53" w:rsidRPr="00E22447" w:rsidRDefault="003A254A" w:rsidP="009D3FEA">
      <w:pPr>
        <w:pStyle w:val="NormalWeb"/>
        <w:spacing w:before="0" w:beforeAutospacing="0" w:after="0" w:afterAutospacing="0"/>
        <w:ind w:left="360"/>
        <w:jc w:val="both"/>
      </w:pPr>
      <w:r w:rsidRPr="00E22447">
        <w:t xml:space="preserve">teaching under the background of curriculum ideological and political education. </w:t>
      </w:r>
      <w:r w:rsidRPr="00E22447">
        <w:rPr>
          <w:rStyle w:val="Emphasis"/>
        </w:rPr>
        <w:t>Pacific International Journal, 6</w:t>
      </w:r>
      <w:r w:rsidRPr="00E22447">
        <w:t xml:space="preserve">(4). </w:t>
      </w:r>
      <w:hyperlink r:id="rId15" w:tgtFrame="_new" w:history="1">
        <w:r w:rsidRPr="00E22447">
          <w:rPr>
            <w:rStyle w:val="Hyperlink"/>
            <w:color w:val="auto"/>
            <w:u w:val="none"/>
          </w:rPr>
          <w:t>https://doi.org/10.55014/pij.v6i4.515</w:t>
        </w:r>
      </w:hyperlink>
      <w:r w:rsidR="00DF1F53" w:rsidRPr="00E22447">
        <w:t xml:space="preserve"> </w:t>
      </w:r>
    </w:p>
    <w:p w14:paraId="7396748F" w14:textId="77777777" w:rsidR="00DF1F53" w:rsidRPr="00E22447" w:rsidRDefault="00DF1F53" w:rsidP="00DF1F53">
      <w:pPr>
        <w:pStyle w:val="NormalWeb"/>
        <w:spacing w:before="0" w:beforeAutospacing="0" w:after="0" w:afterAutospacing="0"/>
        <w:jc w:val="both"/>
      </w:pPr>
      <w:r w:rsidRPr="00E22447">
        <w:t xml:space="preserve">Paul, D., Dani, N. A., &amp; </w:t>
      </w:r>
      <w:proofErr w:type="spellStart"/>
      <w:r w:rsidRPr="00E22447">
        <w:t>Goyi</w:t>
      </w:r>
      <w:proofErr w:type="spellEnd"/>
      <w:r w:rsidRPr="00E22447">
        <w:t xml:space="preserve">, N. (2020). </w:t>
      </w:r>
      <w:proofErr w:type="spellStart"/>
      <w:r w:rsidRPr="00E22447">
        <w:t>Kewujudan</w:t>
      </w:r>
      <w:proofErr w:type="spellEnd"/>
      <w:r w:rsidRPr="00E22447">
        <w:t xml:space="preserve"> </w:t>
      </w:r>
      <w:proofErr w:type="spellStart"/>
      <w:r w:rsidRPr="00E22447">
        <w:t>bahasa</w:t>
      </w:r>
      <w:proofErr w:type="spellEnd"/>
      <w:r w:rsidRPr="00E22447">
        <w:t xml:space="preserve"> </w:t>
      </w:r>
      <w:proofErr w:type="spellStart"/>
      <w:r w:rsidRPr="00E22447">
        <w:t>antara</w:t>
      </w:r>
      <w:proofErr w:type="spellEnd"/>
      <w:r w:rsidRPr="00E22447">
        <w:t xml:space="preserve"> </w:t>
      </w:r>
      <w:proofErr w:type="spellStart"/>
      <w:r w:rsidRPr="00E22447">
        <w:t>dalam</w:t>
      </w:r>
      <w:proofErr w:type="spellEnd"/>
      <w:r w:rsidRPr="00E22447">
        <w:t xml:space="preserve"> </w:t>
      </w:r>
      <w:proofErr w:type="spellStart"/>
      <w:r w:rsidRPr="00E22447">
        <w:t>kalangan</w:t>
      </w:r>
      <w:proofErr w:type="spellEnd"/>
      <w:r w:rsidRPr="00E22447">
        <w:t xml:space="preserve"> </w:t>
      </w:r>
      <w:proofErr w:type="spellStart"/>
      <w:r w:rsidRPr="00E22447">
        <w:t>pelajar</w:t>
      </w:r>
      <w:proofErr w:type="spellEnd"/>
      <w:r w:rsidRPr="00E22447">
        <w:t xml:space="preserve"> </w:t>
      </w:r>
      <w:proofErr w:type="spellStart"/>
      <w:r w:rsidRPr="00E22447">
        <w:t>suku</w:t>
      </w:r>
      <w:proofErr w:type="spellEnd"/>
      <w:r w:rsidRPr="00E22447">
        <w:t xml:space="preserve"> </w:t>
      </w:r>
    </w:p>
    <w:p w14:paraId="524CDF99" w14:textId="77777777" w:rsidR="00DF1F53" w:rsidRPr="00E22447" w:rsidRDefault="00DF1F53" w:rsidP="00DF1F53">
      <w:pPr>
        <w:pStyle w:val="NormalWeb"/>
        <w:spacing w:before="0" w:beforeAutospacing="0" w:after="0" w:afterAutospacing="0"/>
        <w:jc w:val="both"/>
      </w:pPr>
      <w:r w:rsidRPr="00E22447">
        <w:t xml:space="preserve">      Dusun Tindal. </w:t>
      </w:r>
      <w:r w:rsidRPr="00E22447">
        <w:rPr>
          <w:rStyle w:val="Emphasis"/>
        </w:rPr>
        <w:t>MANU Journal of Humanities, 31</w:t>
      </w:r>
      <w:r w:rsidRPr="00E22447">
        <w:t xml:space="preserve">(1), 25–50. </w:t>
      </w:r>
    </w:p>
    <w:p w14:paraId="096F4997" w14:textId="60BFFF10" w:rsidR="00DF1F53" w:rsidRPr="00E22447" w:rsidRDefault="00DF1F53" w:rsidP="00DF1F53">
      <w:pPr>
        <w:pStyle w:val="NormalWeb"/>
        <w:spacing w:before="0" w:beforeAutospacing="0" w:after="0" w:afterAutospacing="0"/>
        <w:jc w:val="both"/>
      </w:pPr>
      <w:r w:rsidRPr="00E22447">
        <w:t xml:space="preserve">      </w:t>
      </w:r>
      <w:hyperlink r:id="rId16" w:history="1">
        <w:r w:rsidRPr="00E22447">
          <w:rPr>
            <w:rStyle w:val="Hyperlink"/>
            <w:color w:val="auto"/>
            <w:u w:val="none"/>
          </w:rPr>
          <w:t>https://doi.org/10.51200/manu.v31i1.2051</w:t>
        </w:r>
      </w:hyperlink>
      <w:r w:rsidRPr="00E22447">
        <w:t xml:space="preserve"> </w:t>
      </w:r>
    </w:p>
    <w:p w14:paraId="2D72EB28" w14:textId="77777777" w:rsidR="00DF1F53" w:rsidRPr="00E22447" w:rsidRDefault="00DF1F53" w:rsidP="00DF1F53">
      <w:pPr>
        <w:pStyle w:val="NormalWeb"/>
        <w:spacing w:before="0" w:beforeAutospacing="0" w:after="0" w:afterAutospacing="0"/>
        <w:jc w:val="both"/>
      </w:pPr>
      <w:proofErr w:type="spellStart"/>
      <w:r w:rsidRPr="00E22447">
        <w:t>Romli</w:t>
      </w:r>
      <w:proofErr w:type="spellEnd"/>
      <w:r w:rsidRPr="00E22447">
        <w:t xml:space="preserve">, N. H., Abd Aziz, M. S., &amp; Krishnasamy, P. K. N. (2022). </w:t>
      </w:r>
      <w:proofErr w:type="spellStart"/>
      <w:r w:rsidRPr="00E22447">
        <w:t>Penggunaan</w:t>
      </w:r>
      <w:proofErr w:type="spellEnd"/>
      <w:r w:rsidRPr="00E22447">
        <w:t xml:space="preserve"> </w:t>
      </w:r>
      <w:proofErr w:type="spellStart"/>
      <w:r w:rsidRPr="00E22447">
        <w:t>bahasa</w:t>
      </w:r>
      <w:proofErr w:type="spellEnd"/>
      <w:r w:rsidRPr="00E22447">
        <w:t xml:space="preserve"> </w:t>
      </w:r>
      <w:proofErr w:type="spellStart"/>
      <w:r w:rsidRPr="00E22447">
        <w:t>Melayu</w:t>
      </w:r>
      <w:proofErr w:type="spellEnd"/>
      <w:r w:rsidRPr="00E22447">
        <w:t xml:space="preserve"> di </w:t>
      </w:r>
    </w:p>
    <w:p w14:paraId="72813431" w14:textId="71DB56D0" w:rsidR="00DF1F53" w:rsidRPr="00E22447" w:rsidRDefault="00DF1F53" w:rsidP="00DF1F53">
      <w:pPr>
        <w:pStyle w:val="NormalWeb"/>
        <w:spacing w:before="0" w:beforeAutospacing="0" w:after="0" w:afterAutospacing="0"/>
        <w:jc w:val="both"/>
        <w:rPr>
          <w:rStyle w:val="Emphasis"/>
        </w:rPr>
      </w:pPr>
      <w:r w:rsidRPr="00E22447">
        <w:t xml:space="preserve">     </w:t>
      </w:r>
      <w:proofErr w:type="spellStart"/>
      <w:r w:rsidRPr="00E22447">
        <w:t>dalam</w:t>
      </w:r>
      <w:proofErr w:type="spellEnd"/>
      <w:r w:rsidRPr="00E22447">
        <w:t xml:space="preserve"> </w:t>
      </w:r>
      <w:proofErr w:type="spellStart"/>
      <w:r w:rsidRPr="00E22447">
        <w:t>pengajaran</w:t>
      </w:r>
      <w:proofErr w:type="spellEnd"/>
      <w:r w:rsidRPr="00E22447">
        <w:t xml:space="preserve"> </w:t>
      </w:r>
      <w:proofErr w:type="spellStart"/>
      <w:r w:rsidRPr="00E22447">
        <w:t>bahasa</w:t>
      </w:r>
      <w:proofErr w:type="spellEnd"/>
      <w:r w:rsidRPr="00E22447">
        <w:t xml:space="preserve"> </w:t>
      </w:r>
      <w:proofErr w:type="spellStart"/>
      <w:r w:rsidRPr="00E22447">
        <w:t>Inggeris</w:t>
      </w:r>
      <w:proofErr w:type="spellEnd"/>
      <w:r w:rsidRPr="00E22447">
        <w:t xml:space="preserve">: </w:t>
      </w:r>
      <w:proofErr w:type="spellStart"/>
      <w:r w:rsidRPr="00E22447">
        <w:t>Sorotan</w:t>
      </w:r>
      <w:proofErr w:type="spellEnd"/>
      <w:r w:rsidRPr="00E22447">
        <w:t xml:space="preserve"> </w:t>
      </w:r>
      <w:proofErr w:type="spellStart"/>
      <w:r w:rsidRPr="00E22447">
        <w:t>teori</w:t>
      </w:r>
      <w:proofErr w:type="spellEnd"/>
      <w:r w:rsidRPr="00E22447">
        <w:t xml:space="preserve"> dan </w:t>
      </w:r>
      <w:proofErr w:type="spellStart"/>
      <w:r w:rsidRPr="00E22447">
        <w:t>kajian</w:t>
      </w:r>
      <w:proofErr w:type="spellEnd"/>
      <w:r w:rsidRPr="00E22447">
        <w:t xml:space="preserve"> </w:t>
      </w:r>
      <w:proofErr w:type="spellStart"/>
      <w:r w:rsidRPr="00E22447">
        <w:t>lepas</w:t>
      </w:r>
      <w:proofErr w:type="spellEnd"/>
      <w:r w:rsidRPr="00E22447">
        <w:t xml:space="preserve">. </w:t>
      </w:r>
      <w:r w:rsidRPr="00E22447">
        <w:rPr>
          <w:rStyle w:val="Emphasis"/>
        </w:rPr>
        <w:t xml:space="preserve">MANU Journal of </w:t>
      </w:r>
    </w:p>
    <w:p w14:paraId="5567952B" w14:textId="5321573A" w:rsidR="003A254A" w:rsidRPr="00E22447" w:rsidRDefault="00DF1F53" w:rsidP="00DF1F53">
      <w:pPr>
        <w:pStyle w:val="NormalWeb"/>
        <w:spacing w:before="0" w:beforeAutospacing="0" w:after="0" w:afterAutospacing="0"/>
        <w:jc w:val="both"/>
      </w:pPr>
      <w:r w:rsidRPr="00E22447">
        <w:rPr>
          <w:rStyle w:val="Emphasis"/>
        </w:rPr>
        <w:t xml:space="preserve">     Humanities, 33</w:t>
      </w:r>
      <w:r w:rsidRPr="00E22447">
        <w:t>(1). https://doi.org/10.51200/manu.v33i1.3722</w:t>
      </w:r>
    </w:p>
    <w:p w14:paraId="1B020CFF" w14:textId="77777777" w:rsidR="009D3FEA" w:rsidRPr="00E22447" w:rsidRDefault="003A254A" w:rsidP="009D3FEA">
      <w:pPr>
        <w:pStyle w:val="NormalWeb"/>
        <w:spacing w:before="0" w:beforeAutospacing="0" w:after="0" w:afterAutospacing="0"/>
        <w:jc w:val="both"/>
        <w:rPr>
          <w:rStyle w:val="Emphasis"/>
        </w:rPr>
      </w:pPr>
      <w:r w:rsidRPr="00E22447">
        <w:t xml:space="preserve">Sun, D. (2022). An overview of the production-oriented approach. </w:t>
      </w:r>
      <w:r w:rsidRPr="00E22447">
        <w:rPr>
          <w:rStyle w:val="Emphasis"/>
        </w:rPr>
        <w:t xml:space="preserve">Journal of Innovation and </w:t>
      </w:r>
    </w:p>
    <w:p w14:paraId="01D2712F" w14:textId="522971DD" w:rsidR="003A254A" w:rsidRPr="00E22447" w:rsidRDefault="003A254A" w:rsidP="009D3FEA">
      <w:pPr>
        <w:pStyle w:val="NormalWeb"/>
        <w:spacing w:before="0" w:beforeAutospacing="0" w:after="0" w:afterAutospacing="0"/>
        <w:ind w:firstLine="360"/>
        <w:jc w:val="both"/>
      </w:pPr>
      <w:r w:rsidRPr="00E22447">
        <w:rPr>
          <w:rStyle w:val="Emphasis"/>
        </w:rPr>
        <w:t>Social Science Research</w:t>
      </w:r>
      <w:r w:rsidRPr="00E22447">
        <w:t xml:space="preserve">. </w:t>
      </w:r>
      <w:hyperlink r:id="rId17" w:tgtFrame="_new" w:history="1">
        <w:r w:rsidRPr="00E22447">
          <w:rPr>
            <w:rStyle w:val="Hyperlink"/>
            <w:color w:val="auto"/>
            <w:u w:val="none"/>
          </w:rPr>
          <w:t>https://doi.org/10.53469/jissr.2022.09(02).16</w:t>
        </w:r>
      </w:hyperlink>
    </w:p>
    <w:p w14:paraId="18525897" w14:textId="77777777" w:rsidR="009D3FEA" w:rsidRPr="00E22447" w:rsidRDefault="003A254A" w:rsidP="009D3FEA">
      <w:pPr>
        <w:pStyle w:val="NormalWeb"/>
        <w:spacing w:before="0" w:beforeAutospacing="0" w:after="0" w:afterAutospacing="0"/>
        <w:jc w:val="both"/>
      </w:pPr>
      <w:r w:rsidRPr="00E22447">
        <w:t xml:space="preserve">Sun, L., &amp; </w:t>
      </w:r>
      <w:proofErr w:type="spellStart"/>
      <w:r w:rsidRPr="00E22447">
        <w:t>Asmawi</w:t>
      </w:r>
      <w:proofErr w:type="spellEnd"/>
      <w:r w:rsidRPr="00E22447">
        <w:t xml:space="preserve">, A. (2022). The impact of the production-oriented approach on oral English </w:t>
      </w:r>
    </w:p>
    <w:p w14:paraId="014CD465" w14:textId="309D8403" w:rsidR="003A254A" w:rsidRPr="00E22447" w:rsidRDefault="003A254A" w:rsidP="00DF1F53">
      <w:pPr>
        <w:pStyle w:val="NormalWeb"/>
        <w:spacing w:before="0" w:beforeAutospacing="0" w:after="0" w:afterAutospacing="0"/>
        <w:ind w:left="300"/>
        <w:jc w:val="both"/>
      </w:pPr>
      <w:r w:rsidRPr="00E22447">
        <w:t xml:space="preserve">performance of senior high school Chinese students: An application study. </w:t>
      </w:r>
      <w:r w:rsidRPr="00E22447">
        <w:rPr>
          <w:rStyle w:val="Emphasis"/>
        </w:rPr>
        <w:t xml:space="preserve">International </w:t>
      </w:r>
      <w:r w:rsidR="00DF1F53" w:rsidRPr="00E22447">
        <w:rPr>
          <w:rStyle w:val="Emphasis"/>
        </w:rPr>
        <w:t xml:space="preserve">      </w:t>
      </w:r>
      <w:r w:rsidRPr="00E22447">
        <w:rPr>
          <w:rStyle w:val="Emphasis"/>
        </w:rPr>
        <w:t>Journal of Learning, Teaching and Educational Research</w:t>
      </w:r>
      <w:r w:rsidRPr="00E22447">
        <w:t xml:space="preserve">. </w:t>
      </w:r>
      <w:hyperlink r:id="rId18" w:tgtFrame="_new" w:history="1">
        <w:r w:rsidRPr="00E22447">
          <w:rPr>
            <w:rStyle w:val="Hyperlink"/>
            <w:color w:val="auto"/>
            <w:u w:val="none"/>
          </w:rPr>
          <w:t>https://doi.org/10.26803/ijlter.21.3.12</w:t>
        </w:r>
      </w:hyperlink>
    </w:p>
    <w:p w14:paraId="5A64469B" w14:textId="77777777" w:rsidR="009D3FEA" w:rsidRPr="00E22447" w:rsidRDefault="003A254A" w:rsidP="009D3FEA">
      <w:pPr>
        <w:pStyle w:val="NormalWeb"/>
        <w:spacing w:before="0" w:beforeAutospacing="0" w:after="0" w:afterAutospacing="0"/>
        <w:jc w:val="both"/>
      </w:pPr>
      <w:r w:rsidRPr="00E22447">
        <w:t>Sun, L., Ismail, H., &amp; Aziz, A. (2024). Current English language teaching using the production-</w:t>
      </w:r>
    </w:p>
    <w:p w14:paraId="0DF32D72" w14:textId="77777777" w:rsidR="009D3FEA" w:rsidRPr="00E22447" w:rsidRDefault="003A254A" w:rsidP="009D3FEA">
      <w:pPr>
        <w:pStyle w:val="NormalWeb"/>
        <w:spacing w:before="0" w:beforeAutospacing="0" w:after="0" w:afterAutospacing="0"/>
        <w:ind w:firstLine="360"/>
        <w:jc w:val="both"/>
      </w:pPr>
      <w:r w:rsidRPr="00E22447">
        <w:t xml:space="preserve">oriented approach: A systematic review. </w:t>
      </w:r>
      <w:r w:rsidRPr="00E22447">
        <w:rPr>
          <w:rStyle w:val="Emphasis"/>
        </w:rPr>
        <w:t>World Journal of English Language</w:t>
      </w:r>
      <w:r w:rsidRPr="00E22447">
        <w:t xml:space="preserve">. </w:t>
      </w:r>
    </w:p>
    <w:p w14:paraId="7B7CE2A2" w14:textId="3E700751" w:rsidR="003A254A" w:rsidRPr="00E22447" w:rsidRDefault="009D3FEA" w:rsidP="009D3FEA">
      <w:pPr>
        <w:pStyle w:val="NormalWeb"/>
        <w:spacing w:before="0" w:beforeAutospacing="0" w:after="0" w:afterAutospacing="0"/>
        <w:ind w:firstLine="360"/>
        <w:jc w:val="both"/>
      </w:pPr>
      <w:hyperlink r:id="rId19" w:history="1">
        <w:r w:rsidRPr="00E22447">
          <w:rPr>
            <w:rStyle w:val="Hyperlink"/>
            <w:color w:val="auto"/>
            <w:u w:val="none"/>
          </w:rPr>
          <w:t>https://doi.org/10.5430/wjel.v14n4p101</w:t>
        </w:r>
      </w:hyperlink>
    </w:p>
    <w:p w14:paraId="2B0F559A" w14:textId="77777777" w:rsidR="009D3FEA" w:rsidRPr="00E22447" w:rsidRDefault="003A254A" w:rsidP="009D3FEA">
      <w:pPr>
        <w:pStyle w:val="NormalWeb"/>
        <w:spacing w:before="0" w:beforeAutospacing="0" w:after="0" w:afterAutospacing="0"/>
        <w:jc w:val="both"/>
      </w:pPr>
      <w:r w:rsidRPr="00E22447">
        <w:t xml:space="preserve">Wang, Z. (2021). Production-oriented approach applied in English as SLA classroom of China. </w:t>
      </w:r>
    </w:p>
    <w:p w14:paraId="53E997F7" w14:textId="77777777" w:rsidR="009D3FEA" w:rsidRPr="00E22447" w:rsidRDefault="003A254A" w:rsidP="009D3FEA">
      <w:pPr>
        <w:pStyle w:val="NormalWeb"/>
        <w:spacing w:before="0" w:beforeAutospacing="0" w:after="0" w:afterAutospacing="0"/>
        <w:ind w:firstLine="360"/>
        <w:jc w:val="both"/>
      </w:pPr>
      <w:r w:rsidRPr="00E22447">
        <w:rPr>
          <w:rStyle w:val="Emphasis"/>
        </w:rPr>
        <w:t>Advances in Social Science, Education and Humanities Research</w:t>
      </w:r>
      <w:r w:rsidRPr="00E22447">
        <w:t xml:space="preserve">. </w:t>
      </w:r>
    </w:p>
    <w:p w14:paraId="010F5DAE" w14:textId="776A62E6" w:rsidR="003A254A" w:rsidRPr="00E22447" w:rsidRDefault="009D3FEA" w:rsidP="009D3FEA">
      <w:pPr>
        <w:pStyle w:val="NormalWeb"/>
        <w:spacing w:before="0" w:beforeAutospacing="0" w:after="0" w:afterAutospacing="0"/>
        <w:ind w:firstLine="360"/>
        <w:jc w:val="both"/>
      </w:pPr>
      <w:hyperlink r:id="rId20" w:history="1">
        <w:r w:rsidRPr="00E22447">
          <w:rPr>
            <w:rStyle w:val="Hyperlink"/>
            <w:color w:val="auto"/>
            <w:u w:val="none"/>
          </w:rPr>
          <w:t>https://doi.org/10.2991/assehr.k.211220.325</w:t>
        </w:r>
      </w:hyperlink>
    </w:p>
    <w:p w14:paraId="26831112" w14:textId="77777777" w:rsidR="009D3FEA" w:rsidRPr="00E22447" w:rsidRDefault="003A254A" w:rsidP="009D3FEA">
      <w:pPr>
        <w:pStyle w:val="NormalWeb"/>
        <w:spacing w:before="0" w:beforeAutospacing="0" w:after="0" w:afterAutospacing="0"/>
        <w:jc w:val="both"/>
      </w:pPr>
      <w:r w:rsidRPr="00E22447">
        <w:t xml:space="preserve">Wen, Q. (2016). The production-oriented approach to teaching university students English in </w:t>
      </w:r>
    </w:p>
    <w:p w14:paraId="4589942F" w14:textId="72AB08F2" w:rsidR="003A254A" w:rsidRPr="00E22447" w:rsidRDefault="003A254A" w:rsidP="009D3FEA">
      <w:pPr>
        <w:pStyle w:val="NormalWeb"/>
        <w:spacing w:before="0" w:beforeAutospacing="0" w:after="0" w:afterAutospacing="0"/>
        <w:ind w:firstLine="360"/>
        <w:jc w:val="both"/>
      </w:pPr>
      <w:r w:rsidRPr="00E22447">
        <w:t xml:space="preserve">China. </w:t>
      </w:r>
      <w:r w:rsidRPr="00E22447">
        <w:rPr>
          <w:rStyle w:val="Emphasis"/>
        </w:rPr>
        <w:t>Language Teaching, 51</w:t>
      </w:r>
      <w:r w:rsidRPr="00E22447">
        <w:t xml:space="preserve">, 526–540. </w:t>
      </w:r>
      <w:hyperlink r:id="rId21" w:tgtFrame="_new" w:history="1">
        <w:r w:rsidRPr="00E22447">
          <w:rPr>
            <w:rStyle w:val="Hyperlink"/>
            <w:color w:val="auto"/>
            <w:u w:val="none"/>
          </w:rPr>
          <w:t>https://doi.org/10.1017/s026144481600001x</w:t>
        </w:r>
      </w:hyperlink>
    </w:p>
    <w:p w14:paraId="6980C3A3" w14:textId="77777777" w:rsidR="009D3FEA" w:rsidRPr="00E22447" w:rsidRDefault="003A254A" w:rsidP="009D3FEA">
      <w:pPr>
        <w:pStyle w:val="NormalWeb"/>
        <w:spacing w:before="0" w:beforeAutospacing="0" w:after="0" w:afterAutospacing="0"/>
        <w:jc w:val="both"/>
      </w:pPr>
      <w:r w:rsidRPr="00E22447">
        <w:t>Xuan, Q., Cheung, A., Yin, H., Yu, X., &amp; Huang, R. (2023). The effectiveness of the production-</w:t>
      </w:r>
    </w:p>
    <w:p w14:paraId="4A069CDA" w14:textId="0D329B69" w:rsidR="003A254A" w:rsidRPr="00E22447" w:rsidRDefault="003A254A" w:rsidP="009D3FEA">
      <w:pPr>
        <w:pStyle w:val="NormalWeb"/>
        <w:spacing w:before="0" w:beforeAutospacing="0" w:after="0" w:afterAutospacing="0"/>
        <w:ind w:left="360"/>
        <w:jc w:val="both"/>
      </w:pPr>
      <w:r w:rsidRPr="00E22447">
        <w:t xml:space="preserve">oriented approach to enhance adult Chinese EFL learners’ language proficiency: A comparative study of three language teaching approaches. </w:t>
      </w:r>
      <w:r w:rsidRPr="00E22447">
        <w:rPr>
          <w:rStyle w:val="Emphasis"/>
        </w:rPr>
        <w:t>The Asia-Pacific Education Researcher</w:t>
      </w:r>
      <w:r w:rsidRPr="00E22447">
        <w:t xml:space="preserve">. </w:t>
      </w:r>
      <w:hyperlink r:id="rId22" w:tgtFrame="_new" w:history="1">
        <w:r w:rsidRPr="00E22447">
          <w:rPr>
            <w:rStyle w:val="Hyperlink"/>
            <w:color w:val="auto"/>
            <w:u w:val="none"/>
          </w:rPr>
          <w:t>https://doi.org/10.1007/s40299-023-00728-y</w:t>
        </w:r>
      </w:hyperlink>
    </w:p>
    <w:p w14:paraId="336DC357" w14:textId="77777777" w:rsidR="00E84119" w:rsidRPr="00E22447" w:rsidRDefault="003A254A" w:rsidP="009D3FEA">
      <w:pPr>
        <w:pStyle w:val="NormalWeb"/>
        <w:spacing w:before="0" w:beforeAutospacing="0" w:after="0" w:afterAutospacing="0"/>
        <w:jc w:val="both"/>
      </w:pPr>
      <w:r w:rsidRPr="00E22447">
        <w:t xml:space="preserve">Zhang, L., &amp; Kong, Y. (2025). Integrating the production-oriented approach in flipped classrooms: </w:t>
      </w:r>
    </w:p>
    <w:p w14:paraId="2FD2D651" w14:textId="77777777" w:rsidR="00E84119" w:rsidRPr="00E22447" w:rsidRDefault="003A254A" w:rsidP="00E84119">
      <w:pPr>
        <w:pStyle w:val="NormalWeb"/>
        <w:spacing w:before="0" w:beforeAutospacing="0" w:after="0" w:afterAutospacing="0"/>
        <w:ind w:firstLine="360"/>
        <w:jc w:val="both"/>
      </w:pPr>
      <w:proofErr w:type="gramStart"/>
      <w:r w:rsidRPr="00E22447">
        <w:t>An action research</w:t>
      </w:r>
      <w:proofErr w:type="gramEnd"/>
      <w:r w:rsidRPr="00E22447">
        <w:t xml:space="preserve"> on enhancing spoken English instruction for English majors in China. </w:t>
      </w:r>
    </w:p>
    <w:p w14:paraId="7ABC2AF6" w14:textId="14EBA983" w:rsidR="003A254A" w:rsidRPr="00E22447" w:rsidRDefault="003A254A" w:rsidP="00E84119">
      <w:pPr>
        <w:pStyle w:val="NormalWeb"/>
        <w:spacing w:before="0" w:beforeAutospacing="0" w:after="0" w:afterAutospacing="0"/>
        <w:ind w:firstLine="360"/>
        <w:jc w:val="both"/>
      </w:pPr>
      <w:r w:rsidRPr="00E22447">
        <w:rPr>
          <w:rStyle w:val="Emphasis"/>
        </w:rPr>
        <w:t>Forum for Linguistic Studies</w:t>
      </w:r>
      <w:r w:rsidRPr="00E22447">
        <w:t xml:space="preserve">. </w:t>
      </w:r>
      <w:hyperlink r:id="rId23" w:tgtFrame="_new" w:history="1">
        <w:r w:rsidRPr="00E22447">
          <w:rPr>
            <w:rStyle w:val="Hyperlink"/>
            <w:color w:val="auto"/>
            <w:u w:val="none"/>
          </w:rPr>
          <w:t>https://doi.org/10.30564/fls.v7i2.8136</w:t>
        </w:r>
      </w:hyperlink>
    </w:p>
    <w:p w14:paraId="03082201" w14:textId="77777777" w:rsidR="00E84119" w:rsidRPr="00E22447" w:rsidRDefault="003A254A" w:rsidP="00E84119">
      <w:pPr>
        <w:pStyle w:val="NormalWeb"/>
        <w:spacing w:before="0" w:beforeAutospacing="0" w:after="0" w:afterAutospacing="0"/>
        <w:jc w:val="both"/>
      </w:pPr>
      <w:r w:rsidRPr="00E22447">
        <w:t xml:space="preserve">Zhao, H. (2025). Integrating the production-oriented approach into blended college English </w:t>
      </w:r>
    </w:p>
    <w:p w14:paraId="1FC9226B" w14:textId="10FB2C14" w:rsidR="003A254A" w:rsidRPr="00E22447" w:rsidRDefault="003A254A" w:rsidP="00E84119">
      <w:pPr>
        <w:pStyle w:val="NormalWeb"/>
        <w:spacing w:before="0" w:beforeAutospacing="0" w:after="0" w:afterAutospacing="0"/>
        <w:ind w:left="360"/>
        <w:jc w:val="both"/>
      </w:pPr>
      <w:r w:rsidRPr="00E22447">
        <w:t xml:space="preserve">viewing, listening and speaking courses. </w:t>
      </w:r>
      <w:r w:rsidRPr="00E22447">
        <w:rPr>
          <w:rStyle w:val="Emphasis"/>
        </w:rPr>
        <w:t>Contemporary Education Frontiers</w:t>
      </w:r>
      <w:r w:rsidRPr="00E22447">
        <w:t xml:space="preserve">. </w:t>
      </w:r>
      <w:hyperlink r:id="rId24" w:history="1">
        <w:r w:rsidR="00E84119" w:rsidRPr="00E22447">
          <w:rPr>
            <w:rStyle w:val="Hyperlink"/>
            <w:color w:val="auto"/>
            <w:u w:val="none"/>
          </w:rPr>
          <w:t>https://doi.org/10.18063/cef.v3i5.1182</w:t>
        </w:r>
      </w:hyperlink>
    </w:p>
    <w:p w14:paraId="5DBAC97B" w14:textId="77777777" w:rsidR="00E84119" w:rsidRPr="00E22447" w:rsidRDefault="003A254A" w:rsidP="00E84119">
      <w:pPr>
        <w:pStyle w:val="NormalWeb"/>
        <w:spacing w:before="0" w:beforeAutospacing="0" w:after="0" w:afterAutospacing="0"/>
        <w:jc w:val="both"/>
      </w:pPr>
      <w:r w:rsidRPr="00E22447">
        <w:t xml:space="preserve">Zhou, Q., &amp; Mohamed, H. (2025). A qualitative case study of the production-oriented approach in </w:t>
      </w:r>
    </w:p>
    <w:p w14:paraId="023A30E0" w14:textId="45EADA05" w:rsidR="003A254A" w:rsidRPr="00E22447" w:rsidRDefault="003A254A" w:rsidP="00E84119">
      <w:pPr>
        <w:pStyle w:val="NormalWeb"/>
        <w:spacing w:before="0" w:beforeAutospacing="0" w:after="0" w:afterAutospacing="0"/>
        <w:ind w:left="360"/>
        <w:jc w:val="both"/>
      </w:pPr>
      <w:r w:rsidRPr="00E22447">
        <w:t xml:space="preserve">a ubiquitous learning environment for CFL learners. </w:t>
      </w:r>
      <w:r w:rsidRPr="00E22447">
        <w:rPr>
          <w:rStyle w:val="Emphasis"/>
        </w:rPr>
        <w:t>International Journal of Research and Innovation in Social Science</w:t>
      </w:r>
      <w:r w:rsidRPr="00E22447">
        <w:t xml:space="preserve">. </w:t>
      </w:r>
      <w:hyperlink r:id="rId25" w:tgtFrame="_new" w:history="1">
        <w:r w:rsidRPr="00E22447">
          <w:rPr>
            <w:rStyle w:val="Hyperlink"/>
            <w:color w:val="auto"/>
            <w:u w:val="none"/>
          </w:rPr>
          <w:t>https://doi.org/10.47772/ijriss.2025.909000336</w:t>
        </w:r>
      </w:hyperlink>
    </w:p>
    <w:p w14:paraId="399300E5" w14:textId="77777777" w:rsidR="00E84119" w:rsidRDefault="00E84119" w:rsidP="00DF1F53">
      <w:pPr>
        <w:spacing w:after="0"/>
        <w:rPr>
          <w:rFonts w:ascii="Times New Roman" w:hAnsi="Times New Roman" w:cs="Times New Roman"/>
          <w:b/>
          <w:bCs/>
        </w:rPr>
      </w:pPr>
    </w:p>
    <w:p w14:paraId="1FB5983F" w14:textId="77777777" w:rsidR="00E22447" w:rsidRDefault="00E22447" w:rsidP="00DF1F53">
      <w:pPr>
        <w:spacing w:after="0"/>
        <w:rPr>
          <w:rFonts w:ascii="Times New Roman" w:hAnsi="Times New Roman" w:cs="Times New Roman"/>
          <w:b/>
          <w:bCs/>
        </w:rPr>
      </w:pPr>
    </w:p>
    <w:p w14:paraId="1C8073FB" w14:textId="77777777" w:rsidR="00E22447" w:rsidRDefault="00E22447" w:rsidP="00DF1F53">
      <w:pPr>
        <w:spacing w:after="0"/>
        <w:rPr>
          <w:rFonts w:ascii="Times New Roman" w:hAnsi="Times New Roman" w:cs="Times New Roman"/>
          <w:b/>
          <w:bCs/>
        </w:rPr>
      </w:pPr>
    </w:p>
    <w:p w14:paraId="7BCE695C" w14:textId="77777777" w:rsidR="00E22447" w:rsidRPr="00E22447" w:rsidRDefault="00E22447" w:rsidP="00DF1F53">
      <w:pPr>
        <w:spacing w:after="0"/>
        <w:rPr>
          <w:rFonts w:ascii="Times New Roman" w:hAnsi="Times New Roman" w:cs="Times New Roman"/>
          <w:b/>
          <w:bCs/>
        </w:rPr>
      </w:pPr>
    </w:p>
    <w:p w14:paraId="4B759F17" w14:textId="26A8ECD9" w:rsidR="00C135DD" w:rsidRDefault="00CE7516" w:rsidP="0051175C">
      <w:pPr>
        <w:spacing w:after="0"/>
        <w:jc w:val="center"/>
        <w:rPr>
          <w:rFonts w:ascii="Times New Roman" w:hAnsi="Times New Roman" w:cs="Times New Roman"/>
          <w:b/>
          <w:bCs/>
        </w:rPr>
      </w:pPr>
      <w:r w:rsidRPr="00D52A49">
        <w:rPr>
          <w:rFonts w:ascii="Times New Roman" w:hAnsi="Times New Roman" w:cs="Times New Roman"/>
          <w:b/>
          <w:bCs/>
        </w:rPr>
        <w:t>BIOGRA</w:t>
      </w:r>
      <w:r w:rsidR="00D52A49" w:rsidRPr="00D52A49">
        <w:rPr>
          <w:rFonts w:ascii="Times New Roman" w:hAnsi="Times New Roman" w:cs="Times New Roman"/>
          <w:b/>
          <w:bCs/>
        </w:rPr>
        <w:t>PHY</w:t>
      </w:r>
    </w:p>
    <w:p w14:paraId="38BB2F89" w14:textId="77777777" w:rsidR="00E84119" w:rsidRPr="00D52A49" w:rsidRDefault="00E84119" w:rsidP="0051175C">
      <w:pPr>
        <w:spacing w:after="0"/>
        <w:jc w:val="center"/>
        <w:rPr>
          <w:rFonts w:ascii="Times New Roman" w:hAnsi="Times New Roman" w:cs="Times New Roman"/>
          <w:b/>
          <w:bCs/>
        </w:rPr>
      </w:pPr>
    </w:p>
    <w:p w14:paraId="02A8E5C0" w14:textId="72349557" w:rsidR="00CE7516" w:rsidRPr="00D52A49" w:rsidRDefault="00D52A49" w:rsidP="00E91587">
      <w:pPr>
        <w:spacing w:after="0" w:line="240" w:lineRule="auto"/>
        <w:jc w:val="both"/>
        <w:rPr>
          <w:rFonts w:ascii="Times New Roman" w:hAnsi="Times New Roman" w:cs="Times New Roman"/>
        </w:rPr>
      </w:pPr>
      <w:r w:rsidRPr="00FF4BEB">
        <w:rPr>
          <w:rFonts w:ascii="Times New Roman" w:hAnsi="Times New Roman" w:cs="Times New Roman"/>
          <w:b/>
          <w:bCs/>
        </w:rPr>
        <w:t>Nabihah Alia Abd Rahman</w:t>
      </w:r>
      <w:r w:rsidRPr="00D52A49">
        <w:rPr>
          <w:rFonts w:ascii="Times New Roman" w:hAnsi="Times New Roman" w:cs="Times New Roman"/>
        </w:rPr>
        <w:t xml:space="preserve"> is a Language Instructor at the Department of Language and Communication, Centre for Fundamental and Continuing Education (PPAL), Universiti Malaysia Terengganu (UMT). She holds a Bachelor’s (BA) and Master’s (MA) degree in Teaching Chinese to Speakers of Other Languages (TCSOL). She is actively involved in teaching Chinese as a foreign language at the university level and also engages in industry collaborations. In addition, she contributes to the development of learning modules and has published book chapters, conference proceedings, and presented papers at conferences related to language education.</w:t>
      </w:r>
    </w:p>
    <w:sectPr w:rsidR="00CE7516" w:rsidRPr="00D52A49" w:rsidSect="00D22FAC">
      <w:headerReference w:type="even" r:id="rId26"/>
      <w:headerReference w:type="default" r:id="rId27"/>
      <w:footerReference w:type="default" r:id="rId28"/>
      <w:head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60C79" w14:textId="77777777" w:rsidR="00022594" w:rsidRDefault="00022594" w:rsidP="00714CFC">
      <w:pPr>
        <w:spacing w:after="0" w:line="240" w:lineRule="auto"/>
      </w:pPr>
      <w:r>
        <w:separator/>
      </w:r>
    </w:p>
  </w:endnote>
  <w:endnote w:type="continuationSeparator" w:id="0">
    <w:p w14:paraId="5291E5F3" w14:textId="77777777" w:rsidR="00022594" w:rsidRDefault="00022594" w:rsidP="0071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197951"/>
      <w:docPartObj>
        <w:docPartGallery w:val="Page Numbers (Bottom of Page)"/>
        <w:docPartUnique/>
      </w:docPartObj>
    </w:sdtPr>
    <w:sdtEndPr>
      <w:rPr>
        <w:noProof/>
      </w:rPr>
    </w:sdtEndPr>
    <w:sdtContent>
      <w:p w14:paraId="161BE131" w14:textId="777027F0" w:rsidR="00D22FAC" w:rsidRDefault="00D22FAC">
        <w:pPr>
          <w:pStyle w:val="Footer"/>
          <w:jc w:val="center"/>
        </w:pPr>
        <w:r w:rsidRPr="00D22FAC">
          <w:rPr>
            <w:rFonts w:ascii="Times New Roman" w:hAnsi="Times New Roman" w:cs="Times New Roman"/>
            <w:sz w:val="20"/>
            <w:szCs w:val="20"/>
          </w:rPr>
          <w:fldChar w:fldCharType="begin"/>
        </w:r>
        <w:r w:rsidRPr="00D22FAC">
          <w:rPr>
            <w:rFonts w:ascii="Times New Roman" w:hAnsi="Times New Roman" w:cs="Times New Roman"/>
            <w:sz w:val="20"/>
            <w:szCs w:val="20"/>
          </w:rPr>
          <w:instrText xml:space="preserve"> PAGE   \* MERGEFORMAT </w:instrText>
        </w:r>
        <w:r w:rsidRPr="00D22FAC">
          <w:rPr>
            <w:rFonts w:ascii="Times New Roman" w:hAnsi="Times New Roman" w:cs="Times New Roman"/>
            <w:sz w:val="20"/>
            <w:szCs w:val="20"/>
          </w:rPr>
          <w:fldChar w:fldCharType="separate"/>
        </w:r>
        <w:r w:rsidRPr="00D22FAC">
          <w:rPr>
            <w:rFonts w:ascii="Times New Roman" w:hAnsi="Times New Roman" w:cs="Times New Roman"/>
            <w:noProof/>
            <w:sz w:val="20"/>
            <w:szCs w:val="20"/>
          </w:rPr>
          <w:t>2</w:t>
        </w:r>
        <w:r w:rsidRPr="00D22FAC">
          <w:rPr>
            <w:rFonts w:ascii="Times New Roman" w:hAnsi="Times New Roman" w:cs="Times New Roman"/>
            <w:noProof/>
            <w:sz w:val="20"/>
            <w:szCs w:val="20"/>
          </w:rPr>
          <w:fldChar w:fldCharType="end"/>
        </w:r>
      </w:p>
    </w:sdtContent>
  </w:sdt>
  <w:p w14:paraId="76899C42" w14:textId="77777777" w:rsidR="00D22FAC" w:rsidRDefault="00D22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E5CB8" w14:textId="77777777" w:rsidR="00022594" w:rsidRDefault="00022594" w:rsidP="00714CFC">
      <w:pPr>
        <w:spacing w:after="0" w:line="240" w:lineRule="auto"/>
      </w:pPr>
      <w:r>
        <w:separator/>
      </w:r>
    </w:p>
  </w:footnote>
  <w:footnote w:type="continuationSeparator" w:id="0">
    <w:p w14:paraId="5EA11A94" w14:textId="77777777" w:rsidR="00022594" w:rsidRDefault="00022594" w:rsidP="0071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FA8A" w14:textId="663DB2B7" w:rsidR="00DD6BBA" w:rsidRDefault="00DD6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AE87" w14:textId="67FDFE67" w:rsidR="00714CFC" w:rsidRPr="00B20570" w:rsidRDefault="00133AE8" w:rsidP="00714CFC">
    <w:pPr>
      <w:pStyle w:val="Header"/>
      <w:rPr>
        <w:rFonts w:ascii="Times New Roman" w:hAnsi="Times New Roman" w:cs="Times New Roman"/>
        <w:i/>
        <w:iCs/>
        <w:sz w:val="20"/>
        <w:szCs w:val="20"/>
      </w:rPr>
    </w:pPr>
    <w:r>
      <w:rPr>
        <w:rFonts w:ascii="Times New Roman" w:hAnsi="Times New Roman" w:cs="Times New Roman"/>
        <w:i/>
        <w:iCs/>
        <w:noProof/>
        <w:sz w:val="20"/>
        <w:szCs w:val="20"/>
      </w:rPr>
      <w:drawing>
        <wp:anchor distT="0" distB="0" distL="114300" distR="114300" simplePos="0" relativeHeight="251659264" behindDoc="0" locked="0" layoutInCell="1" allowOverlap="1" wp14:anchorId="0F537C86" wp14:editId="70615C69">
          <wp:simplePos x="0" y="0"/>
          <wp:positionH relativeFrom="page">
            <wp:posOffset>6684135</wp:posOffset>
          </wp:positionH>
          <wp:positionV relativeFrom="page">
            <wp:posOffset>16626</wp:posOffset>
          </wp:positionV>
          <wp:extent cx="1072793" cy="1371600"/>
          <wp:effectExtent l="0" t="0" r="0" b="0"/>
          <wp:wrapNone/>
          <wp:docPr id="1716426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26248" name="Picture 1716426248"/>
                  <pic:cNvPicPr/>
                </pic:nvPicPr>
                <pic:blipFill>
                  <a:blip r:embed="rId1">
                    <a:extLst>
                      <a:ext uri="{28A0092B-C50C-407E-A947-70E740481C1C}">
                        <a14:useLocalDpi xmlns:a14="http://schemas.microsoft.com/office/drawing/2010/main" val="0"/>
                      </a:ext>
                    </a:extLst>
                  </a:blip>
                  <a:stretch>
                    <a:fillRect/>
                  </a:stretch>
                </pic:blipFill>
                <pic:spPr>
                  <a:xfrm>
                    <a:off x="0" y="0"/>
                    <a:ext cx="1072793" cy="1371600"/>
                  </a:xfrm>
                  <a:prstGeom prst="rect">
                    <a:avLst/>
                  </a:prstGeom>
                </pic:spPr>
              </pic:pic>
            </a:graphicData>
          </a:graphic>
          <wp14:sizeRelH relativeFrom="margin">
            <wp14:pctWidth>0</wp14:pctWidth>
          </wp14:sizeRelH>
          <wp14:sizeRelV relativeFrom="margin">
            <wp14:pctHeight>0</wp14:pctHeight>
          </wp14:sizeRelV>
        </wp:anchor>
      </w:drawing>
    </w:r>
    <w:r w:rsidR="00714CFC" w:rsidRPr="00B20570">
      <w:rPr>
        <w:rFonts w:ascii="Times New Roman" w:hAnsi="Times New Roman" w:cs="Times New Roman"/>
        <w:i/>
        <w:iCs/>
        <w:sz w:val="20"/>
        <w:szCs w:val="20"/>
      </w:rPr>
      <w:t>MANU Bil. 37 (</w:t>
    </w:r>
    <w:r w:rsidR="000432F4">
      <w:rPr>
        <w:rFonts w:ascii="Times New Roman" w:hAnsi="Times New Roman" w:cs="Times New Roman"/>
        <w:i/>
        <w:iCs/>
        <w:sz w:val="20"/>
        <w:szCs w:val="20"/>
      </w:rPr>
      <w:t>2</w:t>
    </w:r>
    <w:r w:rsidR="00714CFC" w:rsidRPr="00B20570">
      <w:rPr>
        <w:rFonts w:ascii="Times New Roman" w:hAnsi="Times New Roman" w:cs="Times New Roman"/>
        <w:i/>
        <w:iCs/>
        <w:sz w:val="20"/>
        <w:szCs w:val="20"/>
      </w:rPr>
      <w:t xml:space="preserve">), </w:t>
    </w:r>
    <w:r w:rsidR="00714CFC">
      <w:rPr>
        <w:rFonts w:ascii="Times New Roman" w:hAnsi="Times New Roman" w:cs="Times New Roman"/>
        <w:i/>
        <w:iCs/>
        <w:sz w:val="20"/>
        <w:szCs w:val="20"/>
      </w:rPr>
      <w:t>1</w:t>
    </w:r>
    <w:r w:rsidR="00714CFC" w:rsidRPr="00B20570">
      <w:rPr>
        <w:rFonts w:ascii="Times New Roman" w:hAnsi="Times New Roman" w:cs="Times New Roman"/>
        <w:i/>
        <w:iCs/>
        <w:sz w:val="20"/>
        <w:szCs w:val="20"/>
      </w:rPr>
      <w:t>-</w:t>
    </w:r>
    <w:r w:rsidR="00E22447">
      <w:rPr>
        <w:rFonts w:ascii="Times New Roman" w:hAnsi="Times New Roman" w:cs="Times New Roman"/>
        <w:i/>
        <w:iCs/>
        <w:sz w:val="20"/>
        <w:szCs w:val="20"/>
      </w:rPr>
      <w:t>14</w:t>
    </w:r>
    <w:r w:rsidR="00714CFC" w:rsidRPr="00B20570">
      <w:rPr>
        <w:rFonts w:ascii="Times New Roman" w:hAnsi="Times New Roman" w:cs="Times New Roman"/>
        <w:i/>
        <w:iCs/>
        <w:sz w:val="20"/>
        <w:szCs w:val="20"/>
      </w:rPr>
      <w:t>, 2026 (</w:t>
    </w:r>
    <w:r w:rsidR="000432F4">
      <w:rPr>
        <w:rFonts w:ascii="Times New Roman" w:hAnsi="Times New Roman" w:cs="Times New Roman"/>
        <w:i/>
        <w:iCs/>
        <w:sz w:val="20"/>
        <w:szCs w:val="20"/>
      </w:rPr>
      <w:t>December</w:t>
    </w:r>
    <w:r w:rsidR="00714CFC" w:rsidRPr="00B20570">
      <w:rPr>
        <w:rFonts w:ascii="Times New Roman" w:hAnsi="Times New Roman" w:cs="Times New Roman"/>
        <w:i/>
        <w:iCs/>
        <w:sz w:val="20"/>
        <w:szCs w:val="20"/>
      </w:rPr>
      <w:t>)</w:t>
    </w:r>
    <w:r w:rsidR="00C32AD4" w:rsidRPr="00C32AD4">
      <w:rPr>
        <w:rFonts w:ascii="Times New Roman" w:eastAsia="DengXian" w:hAnsi="Times New Roman" w:cs="Times New Roman"/>
        <w:noProof/>
        <w:lang w:val="en-MY"/>
      </w:rPr>
      <w:t xml:space="preserve"> </w:t>
    </w:r>
  </w:p>
  <w:p w14:paraId="3EBC961F" w14:textId="2F747BB4" w:rsidR="00714CFC" w:rsidRDefault="00714CFC" w:rsidP="00714CFC">
    <w:pPr>
      <w:pStyle w:val="Header"/>
    </w:pPr>
    <w:r w:rsidRPr="00B20570">
      <w:rPr>
        <w:rFonts w:ascii="Times New Roman" w:hAnsi="Times New Roman" w:cs="Times New Roman"/>
        <w:i/>
        <w:iCs/>
        <w:sz w:val="20"/>
        <w:szCs w:val="20"/>
      </w:rPr>
      <w:t>E-ISSN  2590-4086©</w:t>
    </w:r>
    <w:r>
      <w:rPr>
        <w:rFonts w:ascii="Times New Roman" w:hAnsi="Times New Roman" w:cs="Times New Roman"/>
        <w:i/>
        <w:iCs/>
        <w:sz w:val="20"/>
        <w:szCs w:val="20"/>
      </w:rPr>
      <w:t xml:space="preserve"> Nabihah </w:t>
    </w:r>
    <w:r w:rsidR="00A93DF9">
      <w:rPr>
        <w:rFonts w:ascii="Times New Roman" w:hAnsi="Times New Roman" w:cs="Times New Roman"/>
        <w:i/>
        <w:iCs/>
        <w:sz w:val="20"/>
        <w:szCs w:val="20"/>
      </w:rPr>
      <w:t>Alia Abd Rahman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A042" w14:textId="29B029BB" w:rsidR="00D22FAC" w:rsidRPr="00B20570" w:rsidRDefault="00D22FAC" w:rsidP="00D22FAC">
    <w:pPr>
      <w:pStyle w:val="Header"/>
      <w:rPr>
        <w:rFonts w:ascii="Times New Roman" w:hAnsi="Times New Roman" w:cs="Times New Roman"/>
        <w:i/>
        <w:iCs/>
        <w:sz w:val="20"/>
        <w:szCs w:val="20"/>
      </w:rPr>
    </w:pPr>
    <w:r>
      <w:rPr>
        <w:rFonts w:ascii="Times New Roman" w:hAnsi="Times New Roman" w:cs="Times New Roman"/>
        <w:i/>
        <w:iCs/>
        <w:noProof/>
        <w:sz w:val="20"/>
        <w:szCs w:val="20"/>
      </w:rPr>
      <w:drawing>
        <wp:anchor distT="0" distB="0" distL="114300" distR="114300" simplePos="0" relativeHeight="251661312" behindDoc="0" locked="0" layoutInCell="1" allowOverlap="1" wp14:anchorId="796D658F" wp14:editId="74DE1795">
          <wp:simplePos x="0" y="0"/>
          <wp:positionH relativeFrom="page">
            <wp:posOffset>6684135</wp:posOffset>
          </wp:positionH>
          <wp:positionV relativeFrom="page">
            <wp:posOffset>16626</wp:posOffset>
          </wp:positionV>
          <wp:extent cx="1072793" cy="1371600"/>
          <wp:effectExtent l="0" t="0" r="0" b="0"/>
          <wp:wrapNone/>
          <wp:docPr id="14426006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26248" name="Picture 1716426248"/>
                  <pic:cNvPicPr/>
                </pic:nvPicPr>
                <pic:blipFill>
                  <a:blip r:embed="rId1">
                    <a:extLst>
                      <a:ext uri="{28A0092B-C50C-407E-A947-70E740481C1C}">
                        <a14:useLocalDpi xmlns:a14="http://schemas.microsoft.com/office/drawing/2010/main" val="0"/>
                      </a:ext>
                    </a:extLst>
                  </a:blip>
                  <a:stretch>
                    <a:fillRect/>
                  </a:stretch>
                </pic:blipFill>
                <pic:spPr>
                  <a:xfrm>
                    <a:off x="0" y="0"/>
                    <a:ext cx="1072793" cy="1371600"/>
                  </a:xfrm>
                  <a:prstGeom prst="rect">
                    <a:avLst/>
                  </a:prstGeom>
                </pic:spPr>
              </pic:pic>
            </a:graphicData>
          </a:graphic>
          <wp14:sizeRelH relativeFrom="margin">
            <wp14:pctWidth>0</wp14:pctWidth>
          </wp14:sizeRelH>
          <wp14:sizeRelV relativeFrom="margin">
            <wp14:pctHeight>0</wp14:pctHeight>
          </wp14:sizeRelV>
        </wp:anchor>
      </w:drawing>
    </w:r>
    <w:r w:rsidRPr="00B20570">
      <w:rPr>
        <w:rFonts w:ascii="Times New Roman" w:hAnsi="Times New Roman" w:cs="Times New Roman"/>
        <w:i/>
        <w:iCs/>
        <w:sz w:val="20"/>
        <w:szCs w:val="20"/>
      </w:rPr>
      <w:t>MANU Bil. 37 (</w:t>
    </w:r>
    <w:r>
      <w:rPr>
        <w:rFonts w:ascii="Times New Roman" w:hAnsi="Times New Roman" w:cs="Times New Roman"/>
        <w:i/>
        <w:iCs/>
        <w:sz w:val="20"/>
        <w:szCs w:val="20"/>
      </w:rPr>
      <w:t>2</w:t>
    </w:r>
    <w:r w:rsidRPr="00B20570">
      <w:rPr>
        <w:rFonts w:ascii="Times New Roman" w:hAnsi="Times New Roman" w:cs="Times New Roman"/>
        <w:i/>
        <w:iCs/>
        <w:sz w:val="20"/>
        <w:szCs w:val="20"/>
      </w:rPr>
      <w:t xml:space="preserve">), </w:t>
    </w:r>
    <w:r>
      <w:rPr>
        <w:rFonts w:ascii="Times New Roman" w:hAnsi="Times New Roman" w:cs="Times New Roman"/>
        <w:i/>
        <w:iCs/>
        <w:sz w:val="20"/>
        <w:szCs w:val="20"/>
      </w:rPr>
      <w:t>1</w:t>
    </w:r>
    <w:r w:rsidRPr="00B20570">
      <w:rPr>
        <w:rFonts w:ascii="Times New Roman" w:hAnsi="Times New Roman" w:cs="Times New Roman"/>
        <w:i/>
        <w:iCs/>
        <w:sz w:val="20"/>
        <w:szCs w:val="20"/>
      </w:rPr>
      <w:t>-</w:t>
    </w:r>
    <w:r>
      <w:rPr>
        <w:rFonts w:ascii="Times New Roman" w:hAnsi="Times New Roman" w:cs="Times New Roman"/>
        <w:i/>
        <w:iCs/>
        <w:sz w:val="20"/>
        <w:szCs w:val="20"/>
      </w:rPr>
      <w:t>1</w:t>
    </w:r>
    <w:r w:rsidR="00E22447">
      <w:rPr>
        <w:rFonts w:ascii="Times New Roman" w:hAnsi="Times New Roman" w:cs="Times New Roman"/>
        <w:i/>
        <w:iCs/>
        <w:sz w:val="20"/>
        <w:szCs w:val="20"/>
      </w:rPr>
      <w:t>4</w:t>
    </w:r>
    <w:r w:rsidRPr="00B20570">
      <w:rPr>
        <w:rFonts w:ascii="Times New Roman" w:hAnsi="Times New Roman" w:cs="Times New Roman"/>
        <w:i/>
        <w:iCs/>
        <w:sz w:val="20"/>
        <w:szCs w:val="20"/>
      </w:rPr>
      <w:t>, 2026 (</w:t>
    </w:r>
    <w:r>
      <w:rPr>
        <w:rFonts w:ascii="Times New Roman" w:hAnsi="Times New Roman" w:cs="Times New Roman"/>
        <w:i/>
        <w:iCs/>
        <w:sz w:val="20"/>
        <w:szCs w:val="20"/>
      </w:rPr>
      <w:t>December</w:t>
    </w:r>
    <w:r w:rsidRPr="00B20570">
      <w:rPr>
        <w:rFonts w:ascii="Times New Roman" w:hAnsi="Times New Roman" w:cs="Times New Roman"/>
        <w:i/>
        <w:iCs/>
        <w:sz w:val="20"/>
        <w:szCs w:val="20"/>
      </w:rPr>
      <w:t>)</w:t>
    </w:r>
    <w:r w:rsidRPr="00C32AD4">
      <w:rPr>
        <w:rFonts w:ascii="Times New Roman" w:eastAsia="DengXian" w:hAnsi="Times New Roman" w:cs="Times New Roman"/>
        <w:noProof/>
        <w:lang w:val="en-MY"/>
      </w:rPr>
      <w:t xml:space="preserve"> </w:t>
    </w:r>
  </w:p>
  <w:p w14:paraId="7893A61B" w14:textId="37735E89" w:rsidR="00D22FAC" w:rsidRDefault="00D22FAC">
    <w:pPr>
      <w:pStyle w:val="Header"/>
    </w:pPr>
    <w:r w:rsidRPr="00B20570">
      <w:rPr>
        <w:rFonts w:ascii="Times New Roman" w:hAnsi="Times New Roman" w:cs="Times New Roman"/>
        <w:i/>
        <w:iCs/>
        <w:sz w:val="20"/>
        <w:szCs w:val="20"/>
      </w:rPr>
      <w:t>E-ISSN  2590-4086©</w:t>
    </w:r>
    <w:r>
      <w:rPr>
        <w:rFonts w:ascii="Times New Roman" w:hAnsi="Times New Roman" w:cs="Times New Roman"/>
        <w:i/>
        <w:iCs/>
        <w:sz w:val="20"/>
        <w:szCs w:val="20"/>
      </w:rPr>
      <w:t xml:space="preserve"> Nabihah Alia Abd Rahman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A44AF"/>
    <w:multiLevelType w:val="hybridMultilevel"/>
    <w:tmpl w:val="7CCAB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471203"/>
    <w:multiLevelType w:val="hybridMultilevel"/>
    <w:tmpl w:val="49082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755110"/>
    <w:multiLevelType w:val="hybridMultilevel"/>
    <w:tmpl w:val="4E30E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AE0715"/>
    <w:multiLevelType w:val="multilevel"/>
    <w:tmpl w:val="E372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464DD9"/>
    <w:multiLevelType w:val="multilevel"/>
    <w:tmpl w:val="7A00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2D3AA2"/>
    <w:multiLevelType w:val="hybridMultilevel"/>
    <w:tmpl w:val="2E664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3770992">
    <w:abstractNumId w:val="4"/>
  </w:num>
  <w:num w:numId="2" w16cid:durableId="1154222952">
    <w:abstractNumId w:val="3"/>
  </w:num>
  <w:num w:numId="3" w16cid:durableId="557132318">
    <w:abstractNumId w:val="0"/>
  </w:num>
  <w:num w:numId="4" w16cid:durableId="1208369407">
    <w:abstractNumId w:val="1"/>
  </w:num>
  <w:num w:numId="5" w16cid:durableId="1704211460">
    <w:abstractNumId w:val="2"/>
  </w:num>
  <w:num w:numId="6" w16cid:durableId="10936973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5DD"/>
    <w:rsid w:val="000148B3"/>
    <w:rsid w:val="00022594"/>
    <w:rsid w:val="00022C6D"/>
    <w:rsid w:val="00040668"/>
    <w:rsid w:val="000432F4"/>
    <w:rsid w:val="00045322"/>
    <w:rsid w:val="000503F4"/>
    <w:rsid w:val="0005778A"/>
    <w:rsid w:val="00067866"/>
    <w:rsid w:val="000752BD"/>
    <w:rsid w:val="00096E9B"/>
    <w:rsid w:val="000B5399"/>
    <w:rsid w:val="00123BA2"/>
    <w:rsid w:val="00133AE8"/>
    <w:rsid w:val="001364D8"/>
    <w:rsid w:val="001402F8"/>
    <w:rsid w:val="001572F5"/>
    <w:rsid w:val="001646A2"/>
    <w:rsid w:val="001802B5"/>
    <w:rsid w:val="00180387"/>
    <w:rsid w:val="001D38B1"/>
    <w:rsid w:val="001D5240"/>
    <w:rsid w:val="001E6CA8"/>
    <w:rsid w:val="00207F58"/>
    <w:rsid w:val="002137D6"/>
    <w:rsid w:val="002870D7"/>
    <w:rsid w:val="00292FB6"/>
    <w:rsid w:val="002B1D24"/>
    <w:rsid w:val="002B285F"/>
    <w:rsid w:val="002B4813"/>
    <w:rsid w:val="002B4F33"/>
    <w:rsid w:val="003076F4"/>
    <w:rsid w:val="00337DA5"/>
    <w:rsid w:val="003A254A"/>
    <w:rsid w:val="003A2994"/>
    <w:rsid w:val="003B1849"/>
    <w:rsid w:val="003B1A63"/>
    <w:rsid w:val="003C210E"/>
    <w:rsid w:val="003C594D"/>
    <w:rsid w:val="003C7CDD"/>
    <w:rsid w:val="00453568"/>
    <w:rsid w:val="00454F41"/>
    <w:rsid w:val="00467CDD"/>
    <w:rsid w:val="00474B27"/>
    <w:rsid w:val="00476FCA"/>
    <w:rsid w:val="00496DC0"/>
    <w:rsid w:val="004A0CCE"/>
    <w:rsid w:val="004C4FF9"/>
    <w:rsid w:val="004F608B"/>
    <w:rsid w:val="0051175C"/>
    <w:rsid w:val="00513055"/>
    <w:rsid w:val="00537EA6"/>
    <w:rsid w:val="00587576"/>
    <w:rsid w:val="005C7995"/>
    <w:rsid w:val="005C7E61"/>
    <w:rsid w:val="005D4377"/>
    <w:rsid w:val="005E7E17"/>
    <w:rsid w:val="005F2997"/>
    <w:rsid w:val="005F4402"/>
    <w:rsid w:val="005F5CA6"/>
    <w:rsid w:val="005F64AD"/>
    <w:rsid w:val="005F6502"/>
    <w:rsid w:val="00610A75"/>
    <w:rsid w:val="0063556F"/>
    <w:rsid w:val="006B5D91"/>
    <w:rsid w:val="00714CFC"/>
    <w:rsid w:val="00734B2F"/>
    <w:rsid w:val="00741712"/>
    <w:rsid w:val="0074747C"/>
    <w:rsid w:val="007931AF"/>
    <w:rsid w:val="00795856"/>
    <w:rsid w:val="007A3291"/>
    <w:rsid w:val="007B07D0"/>
    <w:rsid w:val="007B0BC3"/>
    <w:rsid w:val="007C1145"/>
    <w:rsid w:val="007F7BD7"/>
    <w:rsid w:val="008030CD"/>
    <w:rsid w:val="00836624"/>
    <w:rsid w:val="00863371"/>
    <w:rsid w:val="00877960"/>
    <w:rsid w:val="00912AD0"/>
    <w:rsid w:val="00913EEC"/>
    <w:rsid w:val="009409E2"/>
    <w:rsid w:val="00992299"/>
    <w:rsid w:val="00993B0D"/>
    <w:rsid w:val="00995B00"/>
    <w:rsid w:val="009C011F"/>
    <w:rsid w:val="009C291D"/>
    <w:rsid w:val="009D1E19"/>
    <w:rsid w:val="009D3FEA"/>
    <w:rsid w:val="009D6F44"/>
    <w:rsid w:val="009E50DF"/>
    <w:rsid w:val="00A16885"/>
    <w:rsid w:val="00A46C28"/>
    <w:rsid w:val="00A70CCB"/>
    <w:rsid w:val="00A83EF7"/>
    <w:rsid w:val="00A840C8"/>
    <w:rsid w:val="00A93DF9"/>
    <w:rsid w:val="00AB1847"/>
    <w:rsid w:val="00AE6443"/>
    <w:rsid w:val="00AE7EFB"/>
    <w:rsid w:val="00AF2AD1"/>
    <w:rsid w:val="00AF2DCE"/>
    <w:rsid w:val="00B14CE9"/>
    <w:rsid w:val="00B249A9"/>
    <w:rsid w:val="00B272B6"/>
    <w:rsid w:val="00B3260B"/>
    <w:rsid w:val="00B66EA3"/>
    <w:rsid w:val="00B71A12"/>
    <w:rsid w:val="00B7311C"/>
    <w:rsid w:val="00B817C6"/>
    <w:rsid w:val="00BA305B"/>
    <w:rsid w:val="00BC7AD9"/>
    <w:rsid w:val="00BF4608"/>
    <w:rsid w:val="00BF4E3B"/>
    <w:rsid w:val="00C00388"/>
    <w:rsid w:val="00C135DD"/>
    <w:rsid w:val="00C32AD4"/>
    <w:rsid w:val="00C32D55"/>
    <w:rsid w:val="00C356B2"/>
    <w:rsid w:val="00C62FB7"/>
    <w:rsid w:val="00C81A96"/>
    <w:rsid w:val="00CD198C"/>
    <w:rsid w:val="00CE2694"/>
    <w:rsid w:val="00CE693F"/>
    <w:rsid w:val="00CE7516"/>
    <w:rsid w:val="00D066F3"/>
    <w:rsid w:val="00D139CB"/>
    <w:rsid w:val="00D22FAC"/>
    <w:rsid w:val="00D50DC2"/>
    <w:rsid w:val="00D52A49"/>
    <w:rsid w:val="00D540CC"/>
    <w:rsid w:val="00D713BC"/>
    <w:rsid w:val="00D8013C"/>
    <w:rsid w:val="00D86A3D"/>
    <w:rsid w:val="00D9060A"/>
    <w:rsid w:val="00D93488"/>
    <w:rsid w:val="00DA291F"/>
    <w:rsid w:val="00DC3C4A"/>
    <w:rsid w:val="00DD6BBA"/>
    <w:rsid w:val="00DF1F53"/>
    <w:rsid w:val="00DF5D5F"/>
    <w:rsid w:val="00DF6DA7"/>
    <w:rsid w:val="00E22447"/>
    <w:rsid w:val="00E246A1"/>
    <w:rsid w:val="00E4365B"/>
    <w:rsid w:val="00E602BD"/>
    <w:rsid w:val="00E84119"/>
    <w:rsid w:val="00E91587"/>
    <w:rsid w:val="00E94BBF"/>
    <w:rsid w:val="00EC49E6"/>
    <w:rsid w:val="00EE2C1F"/>
    <w:rsid w:val="00EF60A6"/>
    <w:rsid w:val="00F1391D"/>
    <w:rsid w:val="00F33204"/>
    <w:rsid w:val="00F36761"/>
    <w:rsid w:val="00FF4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5B76B"/>
  <w15:chartTrackingRefBased/>
  <w15:docId w15:val="{FC7F18CF-85D1-4FE3-9813-44F37FB01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54A"/>
  </w:style>
  <w:style w:type="paragraph" w:styleId="Heading1">
    <w:name w:val="heading 1"/>
    <w:basedOn w:val="Normal"/>
    <w:next w:val="Normal"/>
    <w:link w:val="Heading1Char"/>
    <w:uiPriority w:val="9"/>
    <w:qFormat/>
    <w:rsid w:val="00C13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3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3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5DD"/>
    <w:rPr>
      <w:rFonts w:eastAsiaTheme="majorEastAsia" w:cstheme="majorBidi"/>
      <w:color w:val="272727" w:themeColor="text1" w:themeTint="D8"/>
    </w:rPr>
  </w:style>
  <w:style w:type="paragraph" w:styleId="Title">
    <w:name w:val="Title"/>
    <w:basedOn w:val="Normal"/>
    <w:next w:val="Normal"/>
    <w:link w:val="TitleChar"/>
    <w:uiPriority w:val="10"/>
    <w:qFormat/>
    <w:rsid w:val="00C13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5DD"/>
    <w:pPr>
      <w:spacing w:before="160"/>
      <w:jc w:val="center"/>
    </w:pPr>
    <w:rPr>
      <w:i/>
      <w:iCs/>
      <w:color w:val="404040" w:themeColor="text1" w:themeTint="BF"/>
    </w:rPr>
  </w:style>
  <w:style w:type="character" w:customStyle="1" w:styleId="QuoteChar">
    <w:name w:val="Quote Char"/>
    <w:basedOn w:val="DefaultParagraphFont"/>
    <w:link w:val="Quote"/>
    <w:uiPriority w:val="29"/>
    <w:rsid w:val="00C135DD"/>
    <w:rPr>
      <w:i/>
      <w:iCs/>
      <w:color w:val="404040" w:themeColor="text1" w:themeTint="BF"/>
    </w:rPr>
  </w:style>
  <w:style w:type="paragraph" w:styleId="ListParagraph">
    <w:name w:val="List Paragraph"/>
    <w:basedOn w:val="Normal"/>
    <w:uiPriority w:val="34"/>
    <w:qFormat/>
    <w:rsid w:val="00C135DD"/>
    <w:pPr>
      <w:ind w:left="720"/>
      <w:contextualSpacing/>
    </w:pPr>
  </w:style>
  <w:style w:type="character" w:styleId="IntenseEmphasis">
    <w:name w:val="Intense Emphasis"/>
    <w:basedOn w:val="DefaultParagraphFont"/>
    <w:uiPriority w:val="21"/>
    <w:qFormat/>
    <w:rsid w:val="00C135DD"/>
    <w:rPr>
      <w:i/>
      <w:iCs/>
      <w:color w:val="0F4761" w:themeColor="accent1" w:themeShade="BF"/>
    </w:rPr>
  </w:style>
  <w:style w:type="paragraph" w:styleId="IntenseQuote">
    <w:name w:val="Intense Quote"/>
    <w:basedOn w:val="Normal"/>
    <w:next w:val="Normal"/>
    <w:link w:val="IntenseQuoteChar"/>
    <w:uiPriority w:val="30"/>
    <w:qFormat/>
    <w:rsid w:val="00C1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5DD"/>
    <w:rPr>
      <w:i/>
      <w:iCs/>
      <w:color w:val="0F4761" w:themeColor="accent1" w:themeShade="BF"/>
    </w:rPr>
  </w:style>
  <w:style w:type="character" w:styleId="IntenseReference">
    <w:name w:val="Intense Reference"/>
    <w:basedOn w:val="DefaultParagraphFont"/>
    <w:uiPriority w:val="32"/>
    <w:qFormat/>
    <w:rsid w:val="00C135DD"/>
    <w:rPr>
      <w:b/>
      <w:bCs/>
      <w:smallCaps/>
      <w:color w:val="0F4761" w:themeColor="accent1" w:themeShade="BF"/>
      <w:spacing w:val="5"/>
    </w:rPr>
  </w:style>
  <w:style w:type="table" w:styleId="TableGrid">
    <w:name w:val="Table Grid"/>
    <w:basedOn w:val="TableNormal"/>
    <w:uiPriority w:val="39"/>
    <w:rsid w:val="004F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608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F608B"/>
    <w:rPr>
      <w:i/>
      <w:iCs/>
    </w:rPr>
  </w:style>
  <w:style w:type="character" w:styleId="Hyperlink">
    <w:name w:val="Hyperlink"/>
    <w:basedOn w:val="DefaultParagraphFont"/>
    <w:uiPriority w:val="99"/>
    <w:unhideWhenUsed/>
    <w:rsid w:val="004F608B"/>
    <w:rPr>
      <w:color w:val="0000FF"/>
      <w:u w:val="single"/>
    </w:rPr>
  </w:style>
  <w:style w:type="character" w:styleId="UnresolvedMention">
    <w:name w:val="Unresolved Mention"/>
    <w:basedOn w:val="DefaultParagraphFont"/>
    <w:uiPriority w:val="99"/>
    <w:semiHidden/>
    <w:unhideWhenUsed/>
    <w:rsid w:val="00AF2DCE"/>
    <w:rPr>
      <w:color w:val="605E5C"/>
      <w:shd w:val="clear" w:color="auto" w:fill="E1DFDD"/>
    </w:rPr>
  </w:style>
  <w:style w:type="paragraph" w:styleId="Header">
    <w:name w:val="header"/>
    <w:basedOn w:val="Normal"/>
    <w:link w:val="HeaderChar"/>
    <w:uiPriority w:val="99"/>
    <w:unhideWhenUsed/>
    <w:qFormat/>
    <w:rsid w:val="00714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CFC"/>
  </w:style>
  <w:style w:type="paragraph" w:styleId="Footer">
    <w:name w:val="footer"/>
    <w:basedOn w:val="Normal"/>
    <w:link w:val="FooterChar"/>
    <w:uiPriority w:val="99"/>
    <w:unhideWhenUsed/>
    <w:rsid w:val="00714C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CFC"/>
  </w:style>
  <w:style w:type="paragraph" w:styleId="CommentText">
    <w:name w:val="annotation text"/>
    <w:basedOn w:val="Normal"/>
    <w:link w:val="CommentTextChar"/>
    <w:uiPriority w:val="99"/>
    <w:semiHidden/>
    <w:unhideWhenUsed/>
    <w:rsid w:val="00714CFC"/>
    <w:pPr>
      <w:spacing w:line="240" w:lineRule="auto"/>
    </w:pPr>
    <w:rPr>
      <w:sz w:val="20"/>
      <w:szCs w:val="20"/>
    </w:rPr>
  </w:style>
  <w:style w:type="character" w:customStyle="1" w:styleId="CommentTextChar">
    <w:name w:val="Comment Text Char"/>
    <w:basedOn w:val="DefaultParagraphFont"/>
    <w:link w:val="CommentText"/>
    <w:uiPriority w:val="99"/>
    <w:semiHidden/>
    <w:rsid w:val="00714CFC"/>
    <w:rPr>
      <w:sz w:val="20"/>
      <w:szCs w:val="20"/>
    </w:rPr>
  </w:style>
  <w:style w:type="paragraph" w:styleId="CommentSubject">
    <w:name w:val="annotation subject"/>
    <w:basedOn w:val="CommentText"/>
    <w:next w:val="CommentText"/>
    <w:link w:val="CommentSubjectChar"/>
    <w:uiPriority w:val="99"/>
    <w:semiHidden/>
    <w:unhideWhenUsed/>
    <w:rsid w:val="00714CFC"/>
    <w:rPr>
      <w:b/>
      <w:bCs/>
      <w:lang w:val="en-MY"/>
    </w:rPr>
  </w:style>
  <w:style w:type="character" w:customStyle="1" w:styleId="CommentSubjectChar">
    <w:name w:val="Comment Subject Char"/>
    <w:basedOn w:val="CommentTextChar"/>
    <w:link w:val="CommentSubject"/>
    <w:uiPriority w:val="99"/>
    <w:semiHidden/>
    <w:rsid w:val="00714CFC"/>
    <w:rPr>
      <w:b/>
      <w:bCs/>
      <w:sz w:val="20"/>
      <w:szCs w:val="20"/>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1200/manu.v37i1.7321" TargetMode="External"/><Relationship Id="rId13" Type="http://schemas.openxmlformats.org/officeDocument/2006/relationships/hyperlink" Target="https://doi.org/10.17507/tpls.1208.23" TargetMode="External"/><Relationship Id="rId18" Type="http://schemas.openxmlformats.org/officeDocument/2006/relationships/hyperlink" Target="https://doi.org/10.26803/ijlter.21.3.12"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1017/s026144481600001x" TargetMode="External"/><Relationship Id="rId7" Type="http://schemas.openxmlformats.org/officeDocument/2006/relationships/hyperlink" Target="mailto:nabihah.rahman@umt.edu.my" TargetMode="External"/><Relationship Id="rId12" Type="http://schemas.openxmlformats.org/officeDocument/2006/relationships/hyperlink" Target="https://doi.org/10.51200/manu.v31i1.2096" TargetMode="External"/><Relationship Id="rId17" Type="http://schemas.openxmlformats.org/officeDocument/2006/relationships/hyperlink" Target="https://doi.org/10.53469/jissr.2022.09(02).16" TargetMode="External"/><Relationship Id="rId25" Type="http://schemas.openxmlformats.org/officeDocument/2006/relationships/hyperlink" Target="https://doi.org/10.47772/ijriss.2025.909000336" TargetMode="External"/><Relationship Id="rId2" Type="http://schemas.openxmlformats.org/officeDocument/2006/relationships/styles" Target="styles.xml"/><Relationship Id="rId16" Type="http://schemas.openxmlformats.org/officeDocument/2006/relationships/hyperlink" Target="https://doi.org/10.51200/manu.v31i1.2051" TargetMode="External"/><Relationship Id="rId20" Type="http://schemas.openxmlformats.org/officeDocument/2006/relationships/hyperlink" Target="https://doi.org/10.2991/assehr.k.211220.325"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236/ce.2022.133058" TargetMode="External"/><Relationship Id="rId24" Type="http://schemas.openxmlformats.org/officeDocument/2006/relationships/hyperlink" Target="https://doi.org/10.18063/cef.v3i5.1182" TargetMode="External"/><Relationship Id="rId5" Type="http://schemas.openxmlformats.org/officeDocument/2006/relationships/footnotes" Target="footnotes.xml"/><Relationship Id="rId15" Type="http://schemas.openxmlformats.org/officeDocument/2006/relationships/hyperlink" Target="https://doi.org/10.55014/pij.v6i4.515" TargetMode="External"/><Relationship Id="rId23" Type="http://schemas.openxmlformats.org/officeDocument/2006/relationships/hyperlink" Target="https://doi.org/10.30564/fls.v7i2.8136" TargetMode="External"/><Relationship Id="rId28" Type="http://schemas.openxmlformats.org/officeDocument/2006/relationships/footer" Target="footer1.xml"/><Relationship Id="rId10" Type="http://schemas.openxmlformats.org/officeDocument/2006/relationships/hyperlink" Target="https://doi.org/10.3389/fpsyg.2023.1189555" TargetMode="External"/><Relationship Id="rId19" Type="http://schemas.openxmlformats.org/officeDocument/2006/relationships/hyperlink" Target="https://doi.org/10.5430/wjel.v14n4p10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2629/rerr.v6i6.2223" TargetMode="External"/><Relationship Id="rId14" Type="http://schemas.openxmlformats.org/officeDocument/2006/relationships/hyperlink" Target="https://doi.org/10.1371/journal.pone.0296249" TargetMode="External"/><Relationship Id="rId22" Type="http://schemas.openxmlformats.org/officeDocument/2006/relationships/hyperlink" Target="https://doi.org/10.1007/s40299-023-00728-y"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5989</TotalTime>
  <Pages>14</Pages>
  <Words>6088</Words>
  <Characters>34703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NABIHAH ALIA</dc:creator>
  <cp:keywords/>
  <dc:description/>
  <cp:lastModifiedBy>Mahirah Msdn</cp:lastModifiedBy>
  <cp:revision>99</cp:revision>
  <dcterms:created xsi:type="dcterms:W3CDTF">2026-04-24T10:09:00Z</dcterms:created>
  <dcterms:modified xsi:type="dcterms:W3CDTF">2026-09-09T07:06:00Z</dcterms:modified>
</cp:coreProperties>
</file>